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26" w:rsidRPr="00960D6B" w:rsidRDefault="003E4626" w:rsidP="0063728B">
      <w:pPr>
        <w:pStyle w:val="ListBulletdash"/>
        <w:numPr>
          <w:ilvl w:val="0"/>
          <w:numId w:val="0"/>
        </w:numPr>
        <w:rPr>
          <w:rFonts w:ascii="Tele-GroteskEEHal" w:hAnsi="Tele-GroteskEEHal" w:cs="Tahoma"/>
          <w:color w:val="00000A"/>
          <w:sz w:val="22"/>
          <w:szCs w:val="22"/>
          <w:lang w:val="hr-HR"/>
        </w:rPr>
      </w:pPr>
      <w:r w:rsidRPr="00960D6B">
        <w:rPr>
          <w:rFonts w:ascii="Tele-GroteskEEHal" w:hAnsi="Tele-GroteskEEHal" w:cs="Tahoma"/>
          <w:color w:val="00000A"/>
          <w:sz w:val="22"/>
          <w:szCs w:val="22"/>
          <w:lang w:val="hr-HR"/>
        </w:rPr>
        <w:t xml:space="preserve">Zagreb – 28. listopada 2011.                    </w:t>
      </w:r>
      <w:r w:rsidRPr="00960D6B">
        <w:rPr>
          <w:rFonts w:ascii="Tele-GroteskEEHal" w:hAnsi="Tele-GroteskEEHal" w:cs="Tahoma"/>
          <w:color w:val="00000A"/>
          <w:sz w:val="22"/>
          <w:szCs w:val="22"/>
          <w:lang w:val="hr-HR"/>
        </w:rPr>
        <w:tab/>
      </w:r>
      <w:r w:rsidRPr="00960D6B">
        <w:rPr>
          <w:rFonts w:ascii="Tele-GroteskEEHal" w:hAnsi="Tele-GroteskEEHal" w:cs="Tahoma"/>
          <w:color w:val="00000A"/>
          <w:sz w:val="22"/>
          <w:szCs w:val="22"/>
          <w:lang w:val="hr-HR"/>
        </w:rPr>
        <w:tab/>
      </w:r>
      <w:r w:rsidRPr="00960D6B">
        <w:rPr>
          <w:rFonts w:ascii="Tele-GroteskEEHal" w:hAnsi="Tele-GroteskEEHal" w:cs="Tahoma"/>
          <w:color w:val="00000A"/>
          <w:sz w:val="22"/>
          <w:szCs w:val="22"/>
          <w:lang w:val="hr-HR"/>
        </w:rPr>
        <w:tab/>
      </w:r>
      <w:r w:rsidRPr="00960D6B">
        <w:rPr>
          <w:rFonts w:ascii="Tele-GroteskEEHal" w:hAnsi="Tele-GroteskEEHal" w:cs="Tahoma"/>
          <w:color w:val="00000A"/>
          <w:sz w:val="22"/>
          <w:szCs w:val="22"/>
          <w:lang w:val="hr-HR"/>
        </w:rPr>
        <w:tab/>
      </w:r>
      <w:r w:rsidRPr="00960D6B">
        <w:rPr>
          <w:rFonts w:ascii="Tele-GroteskEEHal" w:hAnsi="Tele-GroteskEEHal" w:cs="Tahoma"/>
          <w:color w:val="00000A"/>
          <w:sz w:val="22"/>
          <w:szCs w:val="22"/>
          <w:lang w:val="hr-HR"/>
        </w:rPr>
        <w:tab/>
      </w:r>
      <w:r w:rsidRPr="00960D6B">
        <w:rPr>
          <w:rFonts w:ascii="Tele-GroteskEEHal" w:hAnsi="Tele-GroteskEEHal" w:cs="Tahoma"/>
          <w:color w:val="00000A"/>
          <w:sz w:val="22"/>
          <w:szCs w:val="22"/>
          <w:lang w:val="hr-HR"/>
        </w:rPr>
        <w:tab/>
      </w:r>
      <w:r w:rsidRPr="00960D6B">
        <w:rPr>
          <w:rFonts w:ascii="Tele-GroteskEEHal" w:hAnsi="Tele-GroteskEEHal" w:cs="Tahoma"/>
          <w:b/>
          <w:color w:val="FF0000"/>
          <w:sz w:val="22"/>
          <w:szCs w:val="22"/>
          <w:lang w:val="hr-HR"/>
        </w:rPr>
        <w:tab/>
      </w:r>
    </w:p>
    <w:p w:rsidR="003E4626" w:rsidRPr="00960D6B" w:rsidRDefault="003E4626" w:rsidP="00B52CB7">
      <w:pPr>
        <w:jc w:val="center"/>
        <w:rPr>
          <w:rFonts w:ascii="Tele-GroteskEEFet" w:hAnsi="Tele-GroteskEEFet" w:cs="Tahoma"/>
          <w:b/>
          <w:color w:val="000000"/>
          <w:sz w:val="28"/>
          <w:szCs w:val="28"/>
          <w:lang w:val="hr-HR"/>
        </w:rPr>
      </w:pPr>
      <w:r w:rsidRPr="00960D6B">
        <w:rPr>
          <w:rFonts w:ascii="Tele-GroteskEEFet" w:hAnsi="Tele-GroteskEEFet" w:cs="Tahoma"/>
          <w:b/>
          <w:color w:val="000000"/>
          <w:sz w:val="28"/>
          <w:szCs w:val="28"/>
          <w:lang w:val="hr-HR"/>
        </w:rPr>
        <w:t>T-Hrvatski Telekom</w:t>
      </w:r>
    </w:p>
    <w:p w:rsidR="003E4626" w:rsidRPr="00960D6B" w:rsidRDefault="003E4626" w:rsidP="00B52CB7">
      <w:pPr>
        <w:jc w:val="center"/>
        <w:rPr>
          <w:rFonts w:ascii="Tele-GroteskEEFet" w:hAnsi="Tele-GroteskEEFet" w:cs="Tahoma"/>
          <w:b/>
          <w:color w:val="000000"/>
          <w:sz w:val="28"/>
          <w:szCs w:val="28"/>
          <w:lang w:val="hr-HR"/>
        </w:rPr>
      </w:pPr>
      <w:r w:rsidRPr="00960D6B">
        <w:rPr>
          <w:rFonts w:ascii="Tele-GroteskEEFet" w:hAnsi="Tele-GroteskEEFet" w:cs="Tahoma"/>
          <w:b/>
          <w:color w:val="000000"/>
          <w:sz w:val="28"/>
          <w:szCs w:val="28"/>
          <w:lang w:val="hr-HR"/>
        </w:rPr>
        <w:t>Rezultati za devet mjeseci do 30. rujna 2011.</w:t>
      </w:r>
    </w:p>
    <w:p w:rsidR="003E4626" w:rsidRPr="00960D6B" w:rsidRDefault="003E4626" w:rsidP="00B52CB7">
      <w:pPr>
        <w:jc w:val="center"/>
        <w:rPr>
          <w:rFonts w:ascii="Tele-GroteskEEFet" w:hAnsi="Tele-GroteskEEFet" w:cs="Tahoma"/>
          <w:b/>
          <w:color w:val="000000"/>
          <w:sz w:val="28"/>
          <w:szCs w:val="28"/>
          <w:lang w:val="hr-HR"/>
        </w:rPr>
      </w:pPr>
    </w:p>
    <w:p w:rsidR="003E4626" w:rsidRPr="00960D6B" w:rsidRDefault="003E4626" w:rsidP="00B87BF1">
      <w:pPr>
        <w:jc w:val="center"/>
        <w:rPr>
          <w:rFonts w:ascii="Tele-GroteskEEHal" w:hAnsi="Tele-GroteskEEHal"/>
          <w:b/>
          <w:bCs/>
          <w:lang w:val="hr-HR"/>
        </w:rPr>
      </w:pPr>
      <w:r w:rsidRPr="00960D6B">
        <w:rPr>
          <w:rFonts w:ascii="Tele-GroteskEEHal" w:hAnsi="Tele-GroteskEEHal"/>
          <w:b/>
          <w:bCs/>
          <w:lang w:val="hr-HR"/>
        </w:rPr>
        <w:t>Recesija, regulatorne inicijative i posebni porez i dalje utječu na poslovanje; pad prihoda od 3,6% umanjen je doprinosom Combisa i snažnim rastom prihoda od IP-a; solidne marže zahvaljujući učinkovitom upravljanju troškovima</w:t>
      </w:r>
    </w:p>
    <w:p w:rsidR="003E4626" w:rsidRPr="00960D6B" w:rsidRDefault="003E4626" w:rsidP="00B52CB7">
      <w:pPr>
        <w:jc w:val="center"/>
        <w:rPr>
          <w:rFonts w:ascii="Tele-GroteskEEFet" w:hAnsi="Tele-GroteskEEFet" w:cs="Tahoma"/>
          <w:b/>
          <w:color w:val="000000"/>
          <w:sz w:val="28"/>
          <w:szCs w:val="28"/>
          <w:lang w:val="hr-HR"/>
        </w:rPr>
      </w:pPr>
    </w:p>
    <w:p w:rsidR="003E4626" w:rsidRPr="00960D6B" w:rsidRDefault="003E4626" w:rsidP="00827BEA">
      <w:pPr>
        <w:jc w:val="both"/>
        <w:rPr>
          <w:rFonts w:ascii="Tele-GroteskEEHal" w:hAnsi="Tele-GroteskEEHal" w:cs="Tele-GroteskEEHal"/>
          <w:sz w:val="22"/>
          <w:szCs w:val="22"/>
          <w:lang w:val="hr-HR"/>
        </w:rPr>
      </w:pPr>
      <w:r w:rsidRPr="00960D6B">
        <w:rPr>
          <w:rFonts w:ascii="Tele-GroteskEEHal" w:hAnsi="Tele-GroteskEEHal" w:cs="Tahoma"/>
          <w:sz w:val="22"/>
          <w:szCs w:val="22"/>
          <w:lang w:val="hr-HR"/>
        </w:rPr>
        <w:t xml:space="preserve">T-Hrvatski Telekom (Reuters: THTC.L, HT.ZA; Bloomberg: THTC LI, HTRA CZ), </w:t>
      </w:r>
      <w:r w:rsidRPr="00960D6B">
        <w:rPr>
          <w:rFonts w:ascii="Tele-GroteskEEHal" w:hAnsi="Tele-GroteskEEHal" w:cs="Tele-GroteskEEHal"/>
          <w:sz w:val="22"/>
          <w:szCs w:val="22"/>
          <w:lang w:val="hr-HR"/>
        </w:rPr>
        <w:t xml:space="preserve">vodeći </w:t>
      </w:r>
      <w:r>
        <w:rPr>
          <w:rFonts w:ascii="Tele-GroteskEEHal" w:hAnsi="Tele-GroteskEEHal" w:cs="Tele-GroteskEEHal"/>
          <w:sz w:val="22"/>
          <w:szCs w:val="22"/>
          <w:lang w:val="hr-HR"/>
        </w:rPr>
        <w:t xml:space="preserve">pružatelj </w:t>
      </w:r>
      <w:r w:rsidRPr="00960D6B">
        <w:rPr>
          <w:rFonts w:ascii="Tele-GroteskEEHal" w:hAnsi="Tele-GroteskEEHal" w:cs="Tele-GroteskEEHal"/>
          <w:sz w:val="22"/>
          <w:szCs w:val="22"/>
          <w:lang w:val="hr-HR"/>
        </w:rPr>
        <w:t xml:space="preserve"> telekomunikacijskih usluga u Hrvatskoj, objavljuje svoje nerevidirane rezultate za devet mjeseci do 30. rujna 2011.</w:t>
      </w:r>
    </w:p>
    <w:p w:rsidR="003E4626" w:rsidRPr="00960D6B" w:rsidRDefault="003E4626" w:rsidP="006E3697">
      <w:pPr>
        <w:jc w:val="center"/>
        <w:rPr>
          <w:rFonts w:ascii="Tele-GroteskEEHal" w:hAnsi="Tele-GroteskEEHal"/>
          <w:b/>
          <w:bCs/>
          <w:color w:val="3366FF"/>
          <w:lang w:val="hr-HR"/>
        </w:rPr>
      </w:pPr>
    </w:p>
    <w:p w:rsidR="003E4626" w:rsidRPr="00960D6B" w:rsidRDefault="003E4626" w:rsidP="00402751">
      <w:pPr>
        <w:jc w:val="both"/>
        <w:rPr>
          <w:rFonts w:ascii="Tele-GroteskEEHal" w:hAnsi="Tele-GroteskEEHal" w:cs="Tahoma"/>
          <w:b/>
          <w:bCs/>
          <w:sz w:val="22"/>
          <w:szCs w:val="22"/>
          <w:lang w:val="hr-HR"/>
        </w:rPr>
      </w:pPr>
      <w:r w:rsidRPr="00960D6B">
        <w:rPr>
          <w:rFonts w:ascii="Tele-GroteskEEHal" w:hAnsi="Tele-GroteskEEHal" w:cs="Tahoma"/>
          <w:b/>
          <w:bCs/>
          <w:sz w:val="22"/>
          <w:szCs w:val="22"/>
          <w:lang w:val="hr-HR"/>
        </w:rPr>
        <w:t>Glavna obilježja Grupe</w:t>
      </w:r>
    </w:p>
    <w:p w:rsidR="003E4626" w:rsidRPr="00960D6B" w:rsidRDefault="003E4626" w:rsidP="00CF4290">
      <w:pPr>
        <w:numPr>
          <w:ilvl w:val="0"/>
          <w:numId w:val="5"/>
        </w:numPr>
        <w:ind w:left="714" w:hanging="357"/>
        <w:jc w:val="both"/>
        <w:rPr>
          <w:rFonts w:ascii="Tele-GroteskEEHal" w:hAnsi="Tele-GroteskEEHal" w:cs="Tahoma"/>
          <w:sz w:val="22"/>
          <w:szCs w:val="22"/>
          <w:lang w:val="hr-HR"/>
        </w:rPr>
      </w:pPr>
      <w:r w:rsidRPr="00960D6B">
        <w:rPr>
          <w:rFonts w:ascii="Tele-GroteskEEHal" w:hAnsi="Tele-GroteskEEHal" w:cs="Tahoma"/>
          <w:sz w:val="22"/>
          <w:szCs w:val="22"/>
          <w:lang w:val="hr-HR"/>
        </w:rPr>
        <w:t>Prihodi su se smanjili za 3,6% na 6.092 milijuna kuna ili 822 milijuna eura (siječanj-rujan 2010.: 6.321 milijun kuna, 871 milijun eura)</w:t>
      </w:r>
    </w:p>
    <w:p w:rsidR="003E4626" w:rsidRPr="00960D6B" w:rsidRDefault="003E4626" w:rsidP="00CF4290">
      <w:pPr>
        <w:numPr>
          <w:ilvl w:val="1"/>
          <w:numId w:val="5"/>
        </w:numPr>
        <w:jc w:val="both"/>
        <w:rPr>
          <w:rFonts w:ascii="Tele-GroteskEEHal" w:hAnsi="Tele-GroteskEEHal" w:cs="Tahoma"/>
          <w:sz w:val="22"/>
          <w:szCs w:val="22"/>
          <w:lang w:val="hr-HR"/>
        </w:rPr>
      </w:pPr>
      <w:r w:rsidRPr="00960D6B">
        <w:rPr>
          <w:rFonts w:ascii="Tele-GroteskEEHal" w:hAnsi="Tele-GroteskEEHal" w:cs="Tahoma"/>
          <w:sz w:val="22"/>
          <w:szCs w:val="22"/>
          <w:lang w:val="hr-HR"/>
        </w:rPr>
        <w:t>Doprinos Combisa iznosio je 281 milijun kuna ili 38 milijuna eura (siječanj-rujan 2010.: 110 milijuna kuna, 15 milijuna eura. Konsolidiran od svibnja 2010.)</w:t>
      </w:r>
    </w:p>
    <w:p w:rsidR="003E4626" w:rsidRPr="00B424AE" w:rsidRDefault="003E4626" w:rsidP="00CF4290">
      <w:pPr>
        <w:numPr>
          <w:ilvl w:val="1"/>
          <w:numId w:val="5"/>
        </w:numPr>
        <w:jc w:val="both"/>
        <w:rPr>
          <w:rFonts w:ascii="Tele-GroteskEEHal" w:hAnsi="Tele-GroteskEEHal" w:cs="Tahoma"/>
          <w:sz w:val="22"/>
          <w:szCs w:val="22"/>
          <w:lang w:val="hr-HR"/>
        </w:rPr>
      </w:pPr>
      <w:r w:rsidRPr="00B424AE">
        <w:rPr>
          <w:rFonts w:ascii="Tele-GroteskEEHal" w:hAnsi="Tele-GroteskEEHal" w:cs="Tahoma"/>
          <w:sz w:val="22"/>
          <w:szCs w:val="22"/>
          <w:lang w:val="hr-HR"/>
        </w:rPr>
        <w:t>Prihodi su manji za 7,6% ako se isključi doprinos Combisa i priznavanje prihoda nakon promjene vijeka trajanja odnosa s korisnikom kako je navedeno n</w:t>
      </w:r>
      <w:r>
        <w:rPr>
          <w:rFonts w:ascii="Tele-GroteskEEHal" w:hAnsi="Tele-GroteskEEHal" w:cs="Tahoma"/>
          <w:sz w:val="22"/>
          <w:szCs w:val="22"/>
          <w:lang w:val="hr-HR"/>
        </w:rPr>
        <w:t>a stranici 8</w:t>
      </w:r>
      <w:r w:rsidRPr="00B424AE">
        <w:rPr>
          <w:rFonts w:ascii="Tele-GroteskEEHal" w:hAnsi="Tele-GroteskEEHal" w:cs="Tahoma"/>
          <w:sz w:val="22"/>
          <w:szCs w:val="22"/>
          <w:lang w:val="hr-HR"/>
        </w:rPr>
        <w:t>.</w:t>
      </w:r>
    </w:p>
    <w:p w:rsidR="003E4626" w:rsidRPr="00B424AE" w:rsidRDefault="003E4626" w:rsidP="00CF4290">
      <w:pPr>
        <w:numPr>
          <w:ilvl w:val="0"/>
          <w:numId w:val="5"/>
        </w:numPr>
        <w:suppressAutoHyphens w:val="0"/>
        <w:jc w:val="both"/>
        <w:rPr>
          <w:rFonts w:ascii="Tele-GroteskEEHal" w:hAnsi="Tele-GroteskEEHal"/>
          <w:sz w:val="22"/>
          <w:szCs w:val="22"/>
          <w:lang w:val="hr-HR"/>
        </w:rPr>
      </w:pPr>
      <w:r w:rsidRPr="00B424AE">
        <w:rPr>
          <w:rFonts w:ascii="Tele-GroteskEEHal" w:hAnsi="Tele-GroteskEEHal"/>
          <w:sz w:val="22"/>
          <w:szCs w:val="22"/>
          <w:lang w:val="hr-HR"/>
        </w:rPr>
        <w:t>Prihodi od IP-a i ICT-a u stalnom su porastu</w:t>
      </w:r>
    </w:p>
    <w:p w:rsidR="003E4626" w:rsidRPr="00B424AE" w:rsidRDefault="003E4626" w:rsidP="00CF4290">
      <w:pPr>
        <w:numPr>
          <w:ilvl w:val="0"/>
          <w:numId w:val="5"/>
        </w:numPr>
        <w:suppressAutoHyphens w:val="0"/>
        <w:jc w:val="both"/>
        <w:rPr>
          <w:rFonts w:ascii="Tele-GroteskEEHal" w:hAnsi="Tele-GroteskEEHal"/>
          <w:sz w:val="22"/>
          <w:szCs w:val="22"/>
          <w:lang w:val="hr-HR"/>
        </w:rPr>
      </w:pPr>
      <w:r w:rsidRPr="00B424AE">
        <w:rPr>
          <w:rFonts w:ascii="Tele-GroteskEEHal" w:hAnsi="Tele-GroteskEEHal"/>
          <w:sz w:val="22"/>
          <w:szCs w:val="22"/>
          <w:lang w:val="hr-HR"/>
        </w:rPr>
        <w:t>Nastavljaju se inicijative za čvrsto upravljanje troškovima</w:t>
      </w:r>
    </w:p>
    <w:p w:rsidR="003E4626" w:rsidRPr="00B424AE" w:rsidRDefault="003E4626" w:rsidP="00CF4290">
      <w:pPr>
        <w:numPr>
          <w:ilvl w:val="0"/>
          <w:numId w:val="5"/>
        </w:numPr>
        <w:ind w:left="714" w:hanging="357"/>
        <w:jc w:val="both"/>
        <w:rPr>
          <w:rFonts w:ascii="Tele-GroteskEEHal" w:hAnsi="Tele-GroteskEEHal" w:cs="Tahoma"/>
          <w:sz w:val="22"/>
          <w:szCs w:val="22"/>
          <w:lang w:val="hr-HR"/>
        </w:rPr>
      </w:pPr>
      <w:r w:rsidRPr="00B424AE">
        <w:rPr>
          <w:rFonts w:ascii="Tele-GroteskEEHal" w:hAnsi="Tele-GroteskEEHal" w:cs="Tahoma"/>
          <w:sz w:val="22"/>
          <w:szCs w:val="22"/>
          <w:lang w:val="hr-HR"/>
        </w:rPr>
        <w:t xml:space="preserve">EBITDA se smanjila za 2,1% na 2.799 milijuna kuna (378 milijuna eura) uz maržu od 46,0% (siječanj-rujan 2010.: 2.858 milijuna kuna ili 394 milijuna eura, 45,2%) </w:t>
      </w:r>
    </w:p>
    <w:p w:rsidR="003E4626" w:rsidRPr="00B424AE" w:rsidRDefault="003E4626" w:rsidP="00CF4290">
      <w:pPr>
        <w:numPr>
          <w:ilvl w:val="0"/>
          <w:numId w:val="5"/>
        </w:numPr>
        <w:ind w:left="714" w:hanging="357"/>
        <w:jc w:val="both"/>
        <w:rPr>
          <w:rFonts w:ascii="Tele-GroteskEEHal" w:hAnsi="Tele-GroteskEEHal" w:cs="Tahoma"/>
          <w:sz w:val="22"/>
          <w:szCs w:val="22"/>
          <w:lang w:val="hr-HR"/>
        </w:rPr>
      </w:pPr>
      <w:r w:rsidRPr="00B424AE">
        <w:rPr>
          <w:rFonts w:ascii="Tele-GroteskEEHal" w:hAnsi="Tele-GroteskEEHal" w:cs="Tahoma"/>
          <w:sz w:val="22"/>
          <w:szCs w:val="22"/>
          <w:lang w:val="hr-HR"/>
        </w:rPr>
        <w:t xml:space="preserve">Neto dobit gotovo ista i iznosi 1.483 milijuna kuna (200 milijuna eura) </w:t>
      </w:r>
      <w:r w:rsidRPr="00B424AE">
        <w:rPr>
          <w:rFonts w:ascii="Tele-GroteskEEHal" w:hAnsi="Tele-GroteskEEHal"/>
          <w:sz w:val="22"/>
          <w:szCs w:val="22"/>
          <w:lang w:val="hr-HR"/>
        </w:rPr>
        <w:t xml:space="preserve"> </w:t>
      </w:r>
      <w:r w:rsidRPr="00B424AE">
        <w:rPr>
          <w:rFonts w:ascii="Tele-GroteskEEHal" w:hAnsi="Tele-GroteskEEHal" w:cs="Tahoma"/>
          <w:sz w:val="22"/>
          <w:szCs w:val="22"/>
          <w:lang w:val="hr-HR"/>
        </w:rPr>
        <w:t xml:space="preserve"> </w:t>
      </w:r>
    </w:p>
    <w:p w:rsidR="003E4626" w:rsidRPr="00B424AE" w:rsidRDefault="003E4626" w:rsidP="00CF4290">
      <w:pPr>
        <w:numPr>
          <w:ilvl w:val="0"/>
          <w:numId w:val="5"/>
        </w:numPr>
        <w:ind w:left="714" w:hanging="357"/>
        <w:jc w:val="both"/>
        <w:rPr>
          <w:rFonts w:ascii="Tele-GroteskEEHal" w:hAnsi="Tele-GroteskEEHal" w:cs="Tahoma"/>
          <w:sz w:val="22"/>
          <w:szCs w:val="22"/>
          <w:lang w:val="hr-HR"/>
        </w:rPr>
      </w:pPr>
      <w:r w:rsidRPr="00B424AE">
        <w:rPr>
          <w:rFonts w:ascii="Tele-GroteskEEHal" w:hAnsi="Tele-GroteskEEHal" w:cs="Tahoma"/>
          <w:sz w:val="22"/>
          <w:szCs w:val="22"/>
          <w:lang w:val="hr-HR"/>
        </w:rPr>
        <w:t xml:space="preserve">Tijek novca iz redovnog poslovanja smanjio se za 14,8% na 1.894 milijuna kuna (256 milijuna eura)   </w:t>
      </w:r>
    </w:p>
    <w:p w:rsidR="003E4626" w:rsidRPr="00B424AE" w:rsidRDefault="003E4626" w:rsidP="00CF4290">
      <w:pPr>
        <w:numPr>
          <w:ilvl w:val="0"/>
          <w:numId w:val="5"/>
        </w:numPr>
        <w:ind w:left="714" w:hanging="357"/>
        <w:jc w:val="both"/>
        <w:rPr>
          <w:rFonts w:ascii="Tele-GroteskEEHal" w:hAnsi="Tele-GroteskEEHal" w:cs="Tahoma"/>
          <w:sz w:val="22"/>
          <w:szCs w:val="22"/>
          <w:lang w:val="hr-HR"/>
        </w:rPr>
      </w:pPr>
      <w:r w:rsidRPr="00B424AE">
        <w:rPr>
          <w:rFonts w:ascii="Tele-GroteskEEHal" w:hAnsi="Tele-GroteskEEHal" w:cs="Tahoma"/>
          <w:sz w:val="22"/>
          <w:szCs w:val="22"/>
          <w:lang w:val="hr-HR"/>
        </w:rPr>
        <w:t>T-HT je razmatrao nastavak sudjelovanja u postupku privatizacije; prema nepotvrđenim medijskim izvješćima Vlada Republike Kosovo obustavila je postupak.</w:t>
      </w:r>
    </w:p>
    <w:p w:rsidR="003E4626" w:rsidRPr="00B424AE" w:rsidRDefault="003E4626" w:rsidP="00402751">
      <w:pPr>
        <w:ind w:firstLine="357"/>
        <w:jc w:val="both"/>
        <w:rPr>
          <w:rFonts w:ascii="Tele-GroteskEEHal" w:hAnsi="Tele-GroteskEEHal"/>
          <w:sz w:val="22"/>
          <w:szCs w:val="22"/>
          <w:lang w:val="hr-HR"/>
        </w:rPr>
      </w:pPr>
    </w:p>
    <w:p w:rsidR="003E4626" w:rsidRPr="00B424AE" w:rsidRDefault="003E4626" w:rsidP="00402751">
      <w:pPr>
        <w:ind w:firstLine="357"/>
        <w:jc w:val="both"/>
        <w:rPr>
          <w:rFonts w:ascii="Tele-GroteskEEHal" w:hAnsi="Tele-GroteskEEHal" w:cs="Tahoma"/>
          <w:b/>
          <w:bCs/>
          <w:sz w:val="22"/>
          <w:szCs w:val="22"/>
          <w:lang w:val="hr-HR"/>
        </w:rPr>
      </w:pPr>
      <w:r w:rsidRPr="00B424AE">
        <w:rPr>
          <w:rFonts w:ascii="Tele-GroteskEEHal" w:hAnsi="Tele-GroteskEEHal" w:cs="Tahoma"/>
          <w:b/>
          <w:bCs/>
          <w:sz w:val="22"/>
          <w:szCs w:val="22"/>
          <w:lang w:val="hr-HR"/>
        </w:rPr>
        <w:t>Segment privatnih korisnika</w:t>
      </w:r>
    </w:p>
    <w:p w:rsidR="003E4626" w:rsidRPr="00B424AE" w:rsidRDefault="003E4626" w:rsidP="00CF4290">
      <w:pPr>
        <w:numPr>
          <w:ilvl w:val="0"/>
          <w:numId w:val="5"/>
        </w:numPr>
        <w:jc w:val="both"/>
        <w:rPr>
          <w:rFonts w:ascii="Tele-GroteskEEHal" w:hAnsi="Tele-GroteskEEHal" w:cs="Tahoma"/>
          <w:sz w:val="22"/>
          <w:szCs w:val="22"/>
          <w:lang w:val="hr-HR"/>
        </w:rPr>
      </w:pPr>
      <w:r w:rsidRPr="00B424AE">
        <w:rPr>
          <w:rFonts w:ascii="Tele-GroteskEEHal" w:hAnsi="Tele-GroteskEEHal" w:cs="Tahoma"/>
          <w:sz w:val="22"/>
          <w:szCs w:val="22"/>
          <w:lang w:val="hr-HR"/>
        </w:rPr>
        <w:t>T-HT je zadržao vodeći položaj na sva tri tržišta (tržištu pokretnih komunikacija, nepokretnih komunikacija i IP-a)</w:t>
      </w:r>
    </w:p>
    <w:p w:rsidR="003E4626" w:rsidRPr="00960D6B" w:rsidRDefault="003E4626" w:rsidP="00CF4290">
      <w:pPr>
        <w:numPr>
          <w:ilvl w:val="0"/>
          <w:numId w:val="5"/>
        </w:numPr>
        <w:jc w:val="both"/>
        <w:rPr>
          <w:rFonts w:ascii="Tele-GroteskEEHal" w:hAnsi="Tele-GroteskEEHal" w:cs="Tahoma"/>
          <w:sz w:val="22"/>
          <w:szCs w:val="22"/>
          <w:lang w:val="hr-HR"/>
        </w:rPr>
      </w:pPr>
      <w:r w:rsidRPr="00960D6B">
        <w:rPr>
          <w:rFonts w:ascii="Tele-GroteskEEHal" w:hAnsi="Tele-GroteskEEHal" w:cs="Tahoma"/>
          <w:sz w:val="22"/>
          <w:szCs w:val="22"/>
          <w:lang w:val="hr-HR"/>
        </w:rPr>
        <w:t>Uvedene su nove tarife za pokretne komunikacije za cijeli niz korisničkih segmenata</w:t>
      </w:r>
    </w:p>
    <w:p w:rsidR="003E4626" w:rsidRPr="00B424AE" w:rsidRDefault="003E4626" w:rsidP="00CF4290">
      <w:pPr>
        <w:numPr>
          <w:ilvl w:val="0"/>
          <w:numId w:val="5"/>
        </w:numPr>
        <w:jc w:val="both"/>
        <w:rPr>
          <w:rFonts w:ascii="Tele-GroteskEEHal" w:hAnsi="Tele-GroteskEEHal" w:cs="Tahoma"/>
          <w:sz w:val="22"/>
          <w:szCs w:val="22"/>
          <w:lang w:val="hr-HR"/>
        </w:rPr>
      </w:pPr>
      <w:r w:rsidRPr="00960D6B">
        <w:rPr>
          <w:rFonts w:ascii="Tele-GroteskEEHal" w:hAnsi="Tele-GroteskEEHal" w:cs="Tahoma"/>
          <w:sz w:val="22"/>
          <w:szCs w:val="22"/>
          <w:lang w:val="hr-HR"/>
        </w:rPr>
        <w:t>Broj pretplatnika usluga</w:t>
      </w:r>
      <w:r w:rsidRPr="00B424AE">
        <w:rPr>
          <w:rFonts w:ascii="Tele-GroteskEEHal" w:hAnsi="Tele-GroteskEEHal" w:cs="Tahoma"/>
          <w:sz w:val="22"/>
          <w:szCs w:val="22"/>
          <w:lang w:val="hr-HR"/>
        </w:rPr>
        <w:t xml:space="preserve"> u pokretnoj mreži povećao se za 3,5% (povećanje od 2,9% u odnosu na drugo tromjesečje 2011.) nakon promjene definicije prepaid korisnika kako je navedeno na str</w:t>
      </w:r>
      <w:r>
        <w:rPr>
          <w:rFonts w:ascii="Tele-GroteskEEHal" w:hAnsi="Tele-GroteskEEHal" w:cs="Tahoma"/>
          <w:sz w:val="22"/>
          <w:szCs w:val="22"/>
          <w:lang w:val="hr-HR"/>
        </w:rPr>
        <w:t>anici 8</w:t>
      </w:r>
      <w:r w:rsidRPr="00B424AE">
        <w:rPr>
          <w:rFonts w:ascii="Tele-GroteskEEHal" w:hAnsi="Tele-GroteskEEHal" w:cs="Tahoma"/>
          <w:sz w:val="22"/>
          <w:szCs w:val="22"/>
          <w:lang w:val="hr-HR"/>
        </w:rPr>
        <w:t>.</w:t>
      </w:r>
    </w:p>
    <w:p w:rsidR="003E4626" w:rsidRPr="00B424AE" w:rsidRDefault="003E4626" w:rsidP="00CF4290">
      <w:pPr>
        <w:numPr>
          <w:ilvl w:val="0"/>
          <w:numId w:val="5"/>
        </w:numPr>
        <w:jc w:val="both"/>
        <w:rPr>
          <w:rFonts w:ascii="Tele-GroteskEEHal" w:hAnsi="Tele-GroteskEEHal" w:cs="Tahoma"/>
          <w:sz w:val="22"/>
          <w:szCs w:val="22"/>
          <w:lang w:val="hr-HR"/>
        </w:rPr>
      </w:pPr>
      <w:r w:rsidRPr="00B424AE">
        <w:rPr>
          <w:rFonts w:ascii="Tele-GroteskEEHal" w:hAnsi="Tele-GroteskEEHal" w:cs="Tahoma"/>
          <w:sz w:val="22"/>
          <w:szCs w:val="22"/>
          <w:lang w:val="hr-HR"/>
        </w:rPr>
        <w:t>Broj ADSL priključaka iznosio je 538.443, što je povećanje od 8,3% u odnosu na treće tromjesečje 2010. (na istoj razini kao i u drugom tromjesečju 2011.), dok je broj televizijskih korisnika iznosio 317.847, što je povećanje od 21,7% (povećanje od 4,6% u odnosu na drugo tromjesečje 2011.)</w:t>
      </w:r>
    </w:p>
    <w:p w:rsidR="003E4626" w:rsidRPr="00960D6B" w:rsidRDefault="003E4626" w:rsidP="00CF4290">
      <w:pPr>
        <w:numPr>
          <w:ilvl w:val="0"/>
          <w:numId w:val="5"/>
        </w:numPr>
        <w:suppressAutoHyphens w:val="0"/>
        <w:jc w:val="both"/>
        <w:rPr>
          <w:rFonts w:ascii="Tele-GroteskEEHal" w:hAnsi="Tele-GroteskEEHal"/>
          <w:color w:val="000000"/>
          <w:sz w:val="22"/>
          <w:lang w:val="hr-HR"/>
        </w:rPr>
      </w:pPr>
      <w:r w:rsidRPr="00B424AE">
        <w:rPr>
          <w:rFonts w:ascii="Tele-GroteskEEHal" w:hAnsi="Tele-GroteskEEHal"/>
          <w:color w:val="000000"/>
          <w:sz w:val="22"/>
          <w:lang w:val="hr-HR"/>
        </w:rPr>
        <w:t>Prihodi su se smanjili za</w:t>
      </w:r>
      <w:r w:rsidRPr="00960D6B">
        <w:rPr>
          <w:rFonts w:ascii="Tele-GroteskEEHal" w:hAnsi="Tele-GroteskEEHal"/>
          <w:color w:val="000000"/>
          <w:sz w:val="22"/>
          <w:lang w:val="hr-HR"/>
        </w:rPr>
        <w:t xml:space="preserve"> 5,0%, u velikoj mjeri zbog manjih prihoda od govornih usluga u pokretnoj i nepokretnoj mreži te manjih prihoda od negovornih usluga u pokretnoj mreži</w:t>
      </w:r>
    </w:p>
    <w:p w:rsidR="003E4626" w:rsidRPr="00960D6B" w:rsidRDefault="003E4626" w:rsidP="00402751">
      <w:pPr>
        <w:ind w:firstLine="357"/>
        <w:jc w:val="both"/>
        <w:rPr>
          <w:rFonts w:ascii="Tele-GroteskEEHal" w:hAnsi="Tele-GroteskEEHal" w:cs="Tahoma"/>
          <w:b/>
          <w:bCs/>
          <w:sz w:val="22"/>
          <w:szCs w:val="22"/>
          <w:lang w:val="hr-HR"/>
        </w:rPr>
      </w:pPr>
      <w:r w:rsidRPr="00960D6B">
        <w:rPr>
          <w:rFonts w:ascii="Tele-GroteskEEHal" w:hAnsi="Tele-GroteskEEHal" w:cs="Tahoma"/>
          <w:b/>
          <w:bCs/>
          <w:sz w:val="22"/>
          <w:szCs w:val="22"/>
          <w:lang w:val="hr-HR"/>
        </w:rPr>
        <w:t xml:space="preserve">Segment poslovnih korisnika </w:t>
      </w:r>
    </w:p>
    <w:p w:rsidR="003E4626" w:rsidRPr="00960D6B" w:rsidRDefault="003E4626" w:rsidP="00264761">
      <w:pPr>
        <w:numPr>
          <w:ilvl w:val="0"/>
          <w:numId w:val="23"/>
        </w:numPr>
        <w:suppressAutoHyphens w:val="0"/>
        <w:jc w:val="both"/>
        <w:rPr>
          <w:rFonts w:ascii="Tele-GroteskEEHal" w:hAnsi="Tele-GroteskEEHal"/>
          <w:sz w:val="22"/>
          <w:szCs w:val="22"/>
          <w:lang w:val="hr-HR"/>
        </w:rPr>
      </w:pPr>
      <w:r w:rsidRPr="00960D6B">
        <w:rPr>
          <w:rFonts w:ascii="Tele-GroteskEEHal" w:hAnsi="Tele-GroteskEEHal"/>
          <w:sz w:val="22"/>
          <w:szCs w:val="22"/>
          <w:lang w:val="hr-HR"/>
        </w:rPr>
        <w:t>Stabilna korisni</w:t>
      </w:r>
      <w:r>
        <w:rPr>
          <w:rFonts w:ascii="Tele-GroteskEEHal" w:hAnsi="Tele-GroteskEEHal"/>
          <w:sz w:val="22"/>
          <w:szCs w:val="22"/>
          <w:lang w:val="hr-HR"/>
        </w:rPr>
        <w:t xml:space="preserve">čka </w:t>
      </w:r>
      <w:r w:rsidRPr="00960D6B">
        <w:rPr>
          <w:rFonts w:ascii="Tele-GroteskEEHal" w:hAnsi="Tele-GroteskEEHal"/>
          <w:sz w:val="22"/>
          <w:szCs w:val="22"/>
          <w:lang w:val="hr-HR"/>
        </w:rPr>
        <w:t>baza u svim segmentima i proizvodima/tarifama</w:t>
      </w:r>
    </w:p>
    <w:p w:rsidR="003E4626" w:rsidRPr="00B424AE" w:rsidRDefault="003E4626" w:rsidP="00264761">
      <w:pPr>
        <w:numPr>
          <w:ilvl w:val="0"/>
          <w:numId w:val="23"/>
        </w:numPr>
        <w:suppressAutoHyphens w:val="0"/>
        <w:jc w:val="both"/>
        <w:rPr>
          <w:rFonts w:ascii="Tele-GroteskEEHal" w:hAnsi="Tele-GroteskEEHal"/>
          <w:sz w:val="22"/>
          <w:szCs w:val="22"/>
          <w:lang w:val="hr-HR"/>
        </w:rPr>
      </w:pPr>
      <w:r w:rsidRPr="00B424AE">
        <w:rPr>
          <w:rFonts w:ascii="Tele-GroteskEEHal" w:hAnsi="Tele-GroteskEEHal"/>
          <w:sz w:val="22"/>
          <w:szCs w:val="22"/>
          <w:lang w:val="hr-HR"/>
        </w:rPr>
        <w:t xml:space="preserve">Broj pretplatnika usluga u pokretnoj mreži povećao se za 5,6% (povećanje od 1,1% </w:t>
      </w:r>
      <w:r w:rsidRPr="00B424AE">
        <w:rPr>
          <w:rFonts w:ascii="Tele-GroteskEEHal" w:hAnsi="Tele-GroteskEEHal"/>
          <w:color w:val="000000"/>
          <w:sz w:val="22"/>
          <w:lang w:val="hr-HR"/>
        </w:rPr>
        <w:t xml:space="preserve">u odnosu na drugo tromjesečje 2011.) </w:t>
      </w:r>
    </w:p>
    <w:p w:rsidR="003E4626" w:rsidRPr="00B424AE" w:rsidRDefault="003E4626" w:rsidP="00264761">
      <w:pPr>
        <w:numPr>
          <w:ilvl w:val="0"/>
          <w:numId w:val="23"/>
        </w:numPr>
        <w:jc w:val="both"/>
        <w:rPr>
          <w:rFonts w:ascii="Tele-GroteskEEHal" w:hAnsi="Tele-GroteskEEHal" w:cs="Tahoma"/>
          <w:sz w:val="22"/>
          <w:szCs w:val="22"/>
          <w:lang w:val="hr-HR"/>
        </w:rPr>
      </w:pPr>
      <w:r w:rsidRPr="00B424AE">
        <w:rPr>
          <w:rFonts w:ascii="Tele-GroteskEEHal" w:hAnsi="Tele-GroteskEEHal" w:cs="Tahoma"/>
          <w:sz w:val="22"/>
          <w:szCs w:val="22"/>
          <w:lang w:val="hr-HR"/>
        </w:rPr>
        <w:t>Broj ADSL priključaka iznosio je 109.342, što je povećanje od 6,0% (povećanje od 0,9% u odnosu na drugo tromjesečje 2011.), dok je broj televizijskih korisnika iznosio 18.919, što je povećanje od 17,0% (povećanje od 2,6% u odnosu na drugo tromjesečje 2011.)</w:t>
      </w:r>
    </w:p>
    <w:p w:rsidR="003E4626" w:rsidRPr="00B424AE" w:rsidRDefault="003E4626" w:rsidP="00264761">
      <w:pPr>
        <w:numPr>
          <w:ilvl w:val="0"/>
          <w:numId w:val="23"/>
        </w:numPr>
        <w:suppressAutoHyphens w:val="0"/>
        <w:jc w:val="both"/>
        <w:rPr>
          <w:rFonts w:ascii="Tele-GroteskEEHal" w:hAnsi="Tele-GroteskEEHal"/>
          <w:color w:val="000000"/>
          <w:sz w:val="22"/>
          <w:szCs w:val="22"/>
          <w:lang w:val="hr-HR"/>
        </w:rPr>
      </w:pPr>
      <w:r w:rsidRPr="00B424AE">
        <w:rPr>
          <w:rFonts w:ascii="Tele-GroteskEEHal" w:hAnsi="Tele-GroteskEEHal"/>
          <w:color w:val="000000"/>
          <w:sz w:val="22"/>
          <w:szCs w:val="22"/>
          <w:lang w:val="hr-HR"/>
        </w:rPr>
        <w:t xml:space="preserve">Prihodi su se smanjili za 1,9% </w:t>
      </w:r>
    </w:p>
    <w:p w:rsidR="003E4626" w:rsidRPr="00B424AE" w:rsidRDefault="003E4626" w:rsidP="003A0262">
      <w:pPr>
        <w:numPr>
          <w:ilvl w:val="1"/>
          <w:numId w:val="23"/>
        </w:numPr>
        <w:suppressAutoHyphens w:val="0"/>
        <w:jc w:val="both"/>
        <w:rPr>
          <w:rFonts w:ascii="Tele-GroteskEEHal" w:hAnsi="Tele-GroteskEEHal"/>
          <w:sz w:val="22"/>
          <w:szCs w:val="22"/>
          <w:lang w:val="hr-HR"/>
        </w:rPr>
      </w:pPr>
      <w:r w:rsidRPr="00B424AE">
        <w:rPr>
          <w:rFonts w:ascii="Tele-GroteskEEHal" w:hAnsi="Tele-GroteskEEHal"/>
          <w:sz w:val="22"/>
          <w:szCs w:val="22"/>
          <w:lang w:val="hr-HR"/>
        </w:rPr>
        <w:t>Prihodi od IP-a i ICT-a i dalje rastu zahvaljujući pokretanju novih ICT usluga</w:t>
      </w:r>
    </w:p>
    <w:p w:rsidR="003E4626" w:rsidRDefault="003E4626" w:rsidP="00402751">
      <w:pPr>
        <w:jc w:val="both"/>
        <w:rPr>
          <w:rFonts w:ascii="Tele-GroteskEEHal" w:hAnsi="Tele-GroteskEEHal" w:cs="Tahoma"/>
          <w:b/>
          <w:bCs/>
          <w:sz w:val="22"/>
          <w:szCs w:val="22"/>
          <w:lang w:val="hr-HR"/>
        </w:rPr>
      </w:pPr>
    </w:p>
    <w:p w:rsidR="003E4626" w:rsidRPr="00B424AE" w:rsidRDefault="003E4626" w:rsidP="00402751">
      <w:pPr>
        <w:jc w:val="both"/>
        <w:rPr>
          <w:rFonts w:ascii="Tele-GroteskEEHal" w:hAnsi="Tele-GroteskEEHal" w:cs="Tahoma"/>
          <w:b/>
          <w:bCs/>
          <w:sz w:val="22"/>
          <w:szCs w:val="22"/>
          <w:lang w:val="hr-HR"/>
        </w:rPr>
      </w:pPr>
    </w:p>
    <w:p w:rsidR="003E4626" w:rsidRPr="00B424AE" w:rsidRDefault="003E4626" w:rsidP="00531FA5">
      <w:pPr>
        <w:jc w:val="both"/>
        <w:outlineLvl w:val="0"/>
        <w:rPr>
          <w:rFonts w:ascii="Tele-GroteskEEHal" w:hAnsi="Tele-GroteskEEHal"/>
          <w:i/>
          <w:sz w:val="22"/>
          <w:szCs w:val="22"/>
          <w:lang w:val="hr-HR"/>
        </w:rPr>
      </w:pPr>
      <w:smartTag w:uri="urn:schemas-microsoft-com:office:smarttags" w:element="PersonName">
        <w:r w:rsidRPr="00B424AE">
          <w:rPr>
            <w:rFonts w:ascii="Tele-GroteskEEHal" w:hAnsi="Tele-GroteskEEHal" w:cs="Tahoma"/>
            <w:b/>
            <w:bCs/>
            <w:i/>
            <w:sz w:val="22"/>
            <w:szCs w:val="22"/>
            <w:lang w:val="hr-HR"/>
          </w:rPr>
          <w:t>Ivica Mudrinić</w:t>
        </w:r>
      </w:smartTag>
      <w:r w:rsidRPr="00B424AE">
        <w:rPr>
          <w:rFonts w:ascii="Tele-GroteskEEHal" w:hAnsi="Tele-GroteskEEHal" w:cs="Tahoma"/>
          <w:b/>
          <w:bCs/>
          <w:i/>
          <w:sz w:val="22"/>
          <w:szCs w:val="22"/>
          <w:lang w:val="hr-HR"/>
        </w:rPr>
        <w:t xml:space="preserve">, predsjednik Uprave i glavni direktor, </w:t>
      </w:r>
      <w:r w:rsidRPr="00B424AE">
        <w:rPr>
          <w:rFonts w:ascii="Tele-GroteskEEHal" w:hAnsi="Tele-GroteskEEHal" w:cs="Tahoma"/>
          <w:bCs/>
          <w:i/>
          <w:sz w:val="22"/>
          <w:szCs w:val="22"/>
          <w:lang w:val="hr-HR"/>
        </w:rPr>
        <w:t>izjavio je:</w:t>
      </w:r>
    </w:p>
    <w:p w:rsidR="003E4626" w:rsidRPr="00B424AE" w:rsidRDefault="003E4626" w:rsidP="00531FA5">
      <w:pPr>
        <w:rPr>
          <w:rFonts w:ascii="Tele-GroteskEEHal" w:hAnsi="Tele-GroteskEEHal" w:cs="Arial"/>
          <w:i/>
          <w:color w:val="000000"/>
          <w:sz w:val="22"/>
          <w:szCs w:val="22"/>
          <w:lang w:val="hr-HR"/>
        </w:rPr>
      </w:pPr>
      <w:r w:rsidRPr="00B424AE">
        <w:rPr>
          <w:rFonts w:ascii="Tele-GroteskEEHal" w:hAnsi="Tele-GroteskEEHal" w:cs="Tahoma"/>
          <w:bCs/>
          <w:i/>
          <w:sz w:val="22"/>
          <w:szCs w:val="22"/>
          <w:lang w:val="hr-HR"/>
        </w:rPr>
        <w:t>"</w:t>
      </w:r>
      <w:r w:rsidRPr="00B424AE">
        <w:rPr>
          <w:rFonts w:ascii="Tele-GroteskEEHal" w:hAnsi="Tele-GroteskEEHal" w:cs="Arial"/>
          <w:i/>
          <w:color w:val="000000"/>
          <w:sz w:val="22"/>
          <w:szCs w:val="22"/>
          <w:lang w:val="hr-HR"/>
        </w:rPr>
        <w:t>T-HT je u teškim gospodarskim prilikama još jednom postigao solidne rezultate uz prihode manje za 3,6% u odnosu na isto razdoblje prošle godine. Nastavili smo provoditi čvrsto upravljanje troškovima te smo iskazali solidnu maržu EBITDA-e, pri čemu je Combis, pružatelj ICT usluga, dao pozitivan doprinos našem poslovanju. Usprkos daljnjim regulatornim pritiscima i intenzivnome tržišnom natjecanju u svim područjima, zadržali smo vodeći položaj u svim segmentima poslovanja.</w:t>
      </w:r>
    </w:p>
    <w:p w:rsidR="003E4626" w:rsidRPr="00B424AE" w:rsidRDefault="003E4626" w:rsidP="00531FA5">
      <w:pPr>
        <w:rPr>
          <w:rFonts w:ascii="Tele-GroteskEEHal" w:hAnsi="Tele-GroteskEEHal"/>
          <w:i/>
          <w:sz w:val="22"/>
          <w:szCs w:val="22"/>
        </w:rPr>
      </w:pPr>
    </w:p>
    <w:p w:rsidR="003E4626" w:rsidRPr="00B424AE" w:rsidRDefault="003E4626" w:rsidP="00531FA5">
      <w:pPr>
        <w:rPr>
          <w:rFonts w:ascii="Tele-GroteskEEHal" w:hAnsi="Tele-GroteskEEHal"/>
          <w:i/>
          <w:sz w:val="22"/>
          <w:szCs w:val="22"/>
          <w:lang w:val="hr-HR"/>
        </w:rPr>
      </w:pPr>
      <w:r w:rsidRPr="00B424AE">
        <w:rPr>
          <w:rFonts w:ascii="Tele-GroteskEEHal" w:hAnsi="Tele-GroteskEEHal" w:cs="Arial"/>
          <w:i/>
          <w:color w:val="000000"/>
          <w:sz w:val="22"/>
          <w:szCs w:val="22"/>
          <w:lang w:val="hr-HR"/>
        </w:rPr>
        <w:t>"Nadalje, Vlada Republike Hrvatske predložila je ukidanje naknade od 6% na usluge u pokretnim mrežama koja je uvedena 2009. godine, a što bi vjerujemo trebalo imati pozitivan učinak na hrvatski telekomunikacijski sektor. Međutim, postojeći regulatorni okvir i dalje odgađa ulaganja u komunikacijsku/optičku infrastrukturu sljedeće generacije koja bi pomogla poticanju gospodarskog rasta u Hrvatskoj."</w:t>
      </w:r>
    </w:p>
    <w:p w:rsidR="003E4626" w:rsidRDefault="003E4626" w:rsidP="00402751">
      <w:pPr>
        <w:jc w:val="both"/>
        <w:rPr>
          <w:rFonts w:ascii="Tele-GroteskEEHal" w:hAnsi="Tele-GroteskEEHal" w:cs="Tahoma"/>
          <w:b/>
          <w:bCs/>
          <w:sz w:val="22"/>
          <w:szCs w:val="22"/>
          <w:lang w:val="hr-HR"/>
        </w:rPr>
      </w:pPr>
    </w:p>
    <w:p w:rsidR="003E4626" w:rsidRPr="00B424AE" w:rsidRDefault="003E4626" w:rsidP="00402751">
      <w:pPr>
        <w:jc w:val="both"/>
        <w:rPr>
          <w:rFonts w:ascii="Tele-GroteskEEHal" w:hAnsi="Tele-GroteskEEHal" w:cs="Tahoma"/>
          <w:b/>
          <w:bCs/>
          <w:sz w:val="22"/>
          <w:szCs w:val="22"/>
          <w:lang w:val="hr-HR"/>
        </w:rPr>
      </w:pPr>
    </w:p>
    <w:p w:rsidR="003E4626" w:rsidRPr="00960D6B" w:rsidRDefault="003E4626" w:rsidP="00ED3B34">
      <w:pPr>
        <w:tabs>
          <w:tab w:val="left" w:pos="5265"/>
        </w:tabs>
        <w:jc w:val="both"/>
        <w:rPr>
          <w:rFonts w:ascii="Tele-GroteskEEHal" w:hAnsi="Tele-GroteskEEHal" w:cs="Tahoma"/>
          <w:b/>
          <w:color w:val="000000"/>
          <w:sz w:val="22"/>
          <w:szCs w:val="22"/>
          <w:lang w:val="hr-HR"/>
        </w:rPr>
      </w:pPr>
      <w:r w:rsidRPr="00960D6B">
        <w:rPr>
          <w:rFonts w:ascii="Tele-GroteskEEHal" w:hAnsi="Tele-GroteskEEHal" w:cs="Tahoma"/>
          <w:b/>
          <w:color w:val="000000"/>
          <w:sz w:val="22"/>
          <w:szCs w:val="22"/>
          <w:lang w:val="hr-HR"/>
        </w:rPr>
        <w:t xml:space="preserve">Podaci o osobama za </w:t>
      </w:r>
      <w:smartTag w:uri="urn:schemas-microsoft-com:office:smarttags" w:element="PersonName">
        <w:r w:rsidRPr="00960D6B">
          <w:rPr>
            <w:rFonts w:ascii="Tele-GroteskEEHal" w:hAnsi="Tele-GroteskEEHal" w:cs="Tahoma"/>
            <w:b/>
            <w:color w:val="000000"/>
            <w:sz w:val="22"/>
            <w:szCs w:val="22"/>
            <w:lang w:val="hr-HR"/>
          </w:rPr>
          <w:t>kontakt</w:t>
        </w:r>
      </w:smartTag>
    </w:p>
    <w:p w:rsidR="003E4626" w:rsidRPr="00960D6B" w:rsidRDefault="003E4626" w:rsidP="00ED3B34">
      <w:pPr>
        <w:jc w:val="both"/>
        <w:rPr>
          <w:rFonts w:ascii="Tele-GroteskEEHal" w:hAnsi="Tele-GroteskEEHal" w:cs="Tahoma"/>
          <w:color w:val="000000"/>
          <w:sz w:val="22"/>
          <w:szCs w:val="22"/>
          <w:lang w:val="hr-HR"/>
        </w:rPr>
      </w:pPr>
      <w:r w:rsidRPr="00960D6B">
        <w:rPr>
          <w:rFonts w:ascii="Tele-GroteskEEHal" w:hAnsi="Tele-GroteskEEHal" w:cs="Tahoma"/>
          <w:color w:val="000000"/>
          <w:sz w:val="22"/>
          <w:szCs w:val="22"/>
          <w:lang w:val="hr-HR"/>
        </w:rPr>
        <w:t xml:space="preserve"> </w:t>
      </w:r>
    </w:p>
    <w:tbl>
      <w:tblPr>
        <w:tblW w:w="9539" w:type="dxa"/>
        <w:tblLayout w:type="fixed"/>
        <w:tblLook w:val="0000"/>
      </w:tblPr>
      <w:tblGrid>
        <w:gridCol w:w="5070"/>
        <w:gridCol w:w="4469"/>
      </w:tblGrid>
      <w:tr w:rsidR="003E4626" w:rsidRPr="00960D6B" w:rsidTr="00430B60">
        <w:tc>
          <w:tcPr>
            <w:tcW w:w="5070" w:type="dxa"/>
          </w:tcPr>
          <w:p w:rsidR="003E4626" w:rsidRPr="00960D6B" w:rsidRDefault="003E4626" w:rsidP="00430B60">
            <w:pPr>
              <w:jc w:val="both"/>
              <w:rPr>
                <w:rFonts w:ascii="Tele-GroteskEEHal" w:hAnsi="Tele-GroteskEEHal" w:cs="Tahoma"/>
                <w:b/>
                <w:lang w:val="hr-HR"/>
              </w:rPr>
            </w:pPr>
            <w:r w:rsidRPr="00960D6B">
              <w:rPr>
                <w:rFonts w:ascii="Tele-GroteskEEHal" w:hAnsi="Tele-GroteskEEHal" w:cs="Tahoma"/>
                <w:b/>
                <w:sz w:val="22"/>
                <w:szCs w:val="22"/>
                <w:lang w:val="hr-HR"/>
              </w:rPr>
              <w:t>T-Hrvatski Telekom – Odnosi s investitorima</w:t>
            </w:r>
          </w:p>
        </w:tc>
        <w:tc>
          <w:tcPr>
            <w:tcW w:w="4469" w:type="dxa"/>
          </w:tcPr>
          <w:p w:rsidR="003E4626" w:rsidRPr="00960D6B" w:rsidRDefault="003E4626" w:rsidP="00430B60">
            <w:pPr>
              <w:keepNext/>
              <w:spacing w:before="240" w:after="60"/>
              <w:jc w:val="both"/>
              <w:rPr>
                <w:rFonts w:ascii="Tele-GroteskEEHal" w:hAnsi="Tele-GroteskEEHal" w:cs="Tahoma"/>
                <w:lang w:val="hr-HR"/>
              </w:rPr>
            </w:pPr>
          </w:p>
        </w:tc>
      </w:tr>
      <w:tr w:rsidR="003E4626" w:rsidRPr="00960D6B" w:rsidTr="00430B60">
        <w:tc>
          <w:tcPr>
            <w:tcW w:w="5070" w:type="dxa"/>
          </w:tcPr>
          <w:p w:rsidR="003E4626" w:rsidRPr="00960D6B" w:rsidRDefault="003E4626" w:rsidP="00430B60">
            <w:pPr>
              <w:jc w:val="both"/>
              <w:rPr>
                <w:rFonts w:ascii="Tele-GroteskEEHal" w:hAnsi="Tele-GroteskEEHal" w:cs="Tahoma"/>
                <w:lang w:val="hr-HR"/>
              </w:rPr>
            </w:pPr>
            <w:smartTag w:uri="urn:schemas-microsoft-com:office:smarttags" w:element="PersonName">
              <w:r w:rsidRPr="00960D6B">
                <w:rPr>
                  <w:rFonts w:ascii="Tele-GroteskEEHal" w:hAnsi="Tele-GroteskEEHal" w:cs="Tahoma"/>
                  <w:sz w:val="22"/>
                  <w:szCs w:val="22"/>
                  <w:lang w:val="hr-HR"/>
                </w:rPr>
                <w:t>Erika Kašpar</w:t>
              </w:r>
            </w:smartTag>
            <w:r w:rsidRPr="00960D6B">
              <w:rPr>
                <w:rFonts w:ascii="Tele-GroteskEEHal" w:hAnsi="Tele-GroteskEEHal" w:cs="Tahoma"/>
                <w:sz w:val="22"/>
                <w:szCs w:val="22"/>
                <w:lang w:val="hr-HR"/>
              </w:rPr>
              <w:t>, Korporativne komunikacije i odnosi s investitorima</w:t>
            </w:r>
          </w:p>
        </w:tc>
        <w:tc>
          <w:tcPr>
            <w:tcW w:w="4469" w:type="dxa"/>
          </w:tcPr>
          <w:p w:rsidR="003E4626" w:rsidRPr="00960D6B" w:rsidRDefault="003E4626" w:rsidP="00430B60">
            <w:pPr>
              <w:jc w:val="both"/>
              <w:rPr>
                <w:rFonts w:ascii="Tele-GroteskEEHal" w:hAnsi="Tele-GroteskEEHal" w:cs="Tahoma"/>
                <w:lang w:val="hr-HR"/>
              </w:rPr>
            </w:pPr>
            <w:r w:rsidRPr="00960D6B">
              <w:rPr>
                <w:rFonts w:ascii="Tele-GroteskEEHal" w:hAnsi="Tele-GroteskEEHal" w:cs="Tahoma"/>
                <w:sz w:val="22"/>
                <w:szCs w:val="22"/>
                <w:lang w:val="hr-HR"/>
              </w:rPr>
              <w:t>+ 385 1 4912 000</w:t>
            </w:r>
          </w:p>
        </w:tc>
      </w:tr>
      <w:tr w:rsidR="003E4626" w:rsidRPr="00960D6B" w:rsidTr="00430B60">
        <w:tc>
          <w:tcPr>
            <w:tcW w:w="5070" w:type="dxa"/>
          </w:tcPr>
          <w:p w:rsidR="003E4626" w:rsidRPr="00960D6B" w:rsidRDefault="003E4626" w:rsidP="00430B60">
            <w:pPr>
              <w:jc w:val="both"/>
              <w:rPr>
                <w:rFonts w:ascii="Tele-GroteskEEHal" w:hAnsi="Tele-GroteskEEHal" w:cs="Tahoma"/>
                <w:lang w:val="hr-HR"/>
              </w:rPr>
            </w:pPr>
            <w:smartTag w:uri="urn:schemas-microsoft-com:office:smarttags" w:element="PersonName">
              <w:r w:rsidRPr="00960D6B">
                <w:rPr>
                  <w:rFonts w:ascii="Tele-GroteskEEHal" w:hAnsi="Tele-GroteskEEHal" w:cs="Tahoma"/>
                  <w:sz w:val="22"/>
                  <w:szCs w:val="22"/>
                  <w:lang w:val="hr-HR"/>
                </w:rPr>
                <w:t>Elvis Knežević</w:t>
              </w:r>
            </w:smartTag>
            <w:r w:rsidRPr="00960D6B">
              <w:rPr>
                <w:rFonts w:ascii="Tele-GroteskEEHal" w:hAnsi="Tele-GroteskEEHal" w:cs="Tahoma"/>
                <w:sz w:val="22"/>
                <w:szCs w:val="22"/>
                <w:lang w:val="hr-HR"/>
              </w:rPr>
              <w:t>, Odnosi s investitorima</w:t>
            </w:r>
          </w:p>
        </w:tc>
        <w:tc>
          <w:tcPr>
            <w:tcW w:w="4469" w:type="dxa"/>
          </w:tcPr>
          <w:p w:rsidR="003E4626" w:rsidRPr="00960D6B" w:rsidRDefault="003E4626" w:rsidP="00430B60">
            <w:pPr>
              <w:jc w:val="both"/>
              <w:rPr>
                <w:rFonts w:ascii="Tele-GroteskEEHal" w:hAnsi="Tele-GroteskEEHal" w:cs="Tahoma"/>
                <w:lang w:val="hr-HR"/>
              </w:rPr>
            </w:pPr>
            <w:r w:rsidRPr="00960D6B">
              <w:rPr>
                <w:rFonts w:ascii="Tele-GroteskEEHal" w:hAnsi="Tele-GroteskEEHal" w:cs="Tahoma"/>
                <w:sz w:val="22"/>
                <w:szCs w:val="22"/>
                <w:lang w:val="hr-HR"/>
              </w:rPr>
              <w:t>+ 385 1 4911 114</w:t>
            </w:r>
          </w:p>
        </w:tc>
      </w:tr>
      <w:tr w:rsidR="003E4626" w:rsidRPr="00960D6B" w:rsidTr="00430B60">
        <w:tc>
          <w:tcPr>
            <w:tcW w:w="5070" w:type="dxa"/>
          </w:tcPr>
          <w:p w:rsidR="003E4626" w:rsidRPr="00960D6B" w:rsidRDefault="003E4626" w:rsidP="00430B60">
            <w:pPr>
              <w:jc w:val="both"/>
              <w:rPr>
                <w:rFonts w:ascii="Tele-GroteskEEHal" w:hAnsi="Tele-GroteskEEHal" w:cs="Tahoma"/>
                <w:lang w:val="hr-HR"/>
              </w:rPr>
            </w:pPr>
            <w:smartTag w:uri="urn:schemas-microsoft-com:office:smarttags" w:element="PersonName">
              <w:r w:rsidRPr="00960D6B">
                <w:rPr>
                  <w:rFonts w:ascii="Tele-GroteskEEHal" w:hAnsi="Tele-GroteskEEHal" w:cs="Tahoma"/>
                  <w:sz w:val="22"/>
                  <w:szCs w:val="22"/>
                  <w:lang w:val="hr-HR"/>
                </w:rPr>
                <w:t>Anita Marić</w:t>
              </w:r>
            </w:smartTag>
            <w:r w:rsidRPr="00960D6B">
              <w:rPr>
                <w:rFonts w:ascii="Tele-GroteskEEHal" w:hAnsi="Tele-GroteskEEHal" w:cs="Tahoma"/>
                <w:sz w:val="22"/>
                <w:szCs w:val="22"/>
                <w:lang w:val="hr-HR"/>
              </w:rPr>
              <w:t xml:space="preserve"> Šimek, Odnosi s investitorima</w:t>
            </w:r>
          </w:p>
        </w:tc>
        <w:tc>
          <w:tcPr>
            <w:tcW w:w="4469" w:type="dxa"/>
          </w:tcPr>
          <w:p w:rsidR="003E4626" w:rsidRPr="00960D6B" w:rsidRDefault="003E4626" w:rsidP="00430B60">
            <w:pPr>
              <w:jc w:val="both"/>
              <w:rPr>
                <w:rFonts w:ascii="Tele-GroteskEEHal" w:hAnsi="Tele-GroteskEEHal" w:cs="Tahoma"/>
                <w:lang w:val="hr-HR"/>
              </w:rPr>
            </w:pPr>
            <w:r w:rsidRPr="00960D6B">
              <w:rPr>
                <w:rFonts w:ascii="Tele-GroteskEEHal" w:hAnsi="Tele-GroteskEEHal" w:cs="Tahoma"/>
                <w:sz w:val="22"/>
                <w:szCs w:val="22"/>
                <w:lang w:val="hr-HR"/>
              </w:rPr>
              <w:t>+ 385 1 4911 884</w:t>
            </w:r>
          </w:p>
        </w:tc>
      </w:tr>
      <w:tr w:rsidR="003E4626" w:rsidRPr="00960D6B" w:rsidTr="00430B60">
        <w:tc>
          <w:tcPr>
            <w:tcW w:w="5070" w:type="dxa"/>
          </w:tcPr>
          <w:p w:rsidR="003E4626" w:rsidRPr="00960D6B" w:rsidRDefault="003E4626" w:rsidP="00430B60">
            <w:pPr>
              <w:jc w:val="both"/>
              <w:rPr>
                <w:rFonts w:ascii="Tele-GroteskEEHal" w:hAnsi="Tele-GroteskEEHal" w:cs="Tahoma"/>
                <w:lang w:val="hr-HR"/>
              </w:rPr>
            </w:pPr>
            <w:r w:rsidRPr="00960D6B">
              <w:rPr>
                <w:rFonts w:ascii="Tele-GroteskEEHal" w:hAnsi="Tele-GroteskEEHal" w:cs="Tahoma"/>
                <w:sz w:val="22"/>
                <w:szCs w:val="22"/>
                <w:lang w:val="hr-HR"/>
              </w:rPr>
              <w:t>Email</w:t>
            </w:r>
          </w:p>
        </w:tc>
        <w:tc>
          <w:tcPr>
            <w:tcW w:w="4469" w:type="dxa"/>
          </w:tcPr>
          <w:p w:rsidR="003E4626" w:rsidRPr="00960D6B" w:rsidRDefault="003E4626" w:rsidP="00430B60">
            <w:pPr>
              <w:jc w:val="both"/>
              <w:rPr>
                <w:rFonts w:ascii="Tele-GroteskEEHal" w:hAnsi="Tele-GroteskEEHal" w:cs="Tahoma"/>
                <w:lang w:val="hr-HR"/>
              </w:rPr>
            </w:pPr>
            <w:hyperlink r:id="rId7" w:history="1">
              <w:r w:rsidRPr="00960D6B">
                <w:rPr>
                  <w:rStyle w:val="Hyperlink"/>
                  <w:rFonts w:ascii="Tele-GroteskEEHal" w:hAnsi="Tele-GroteskEEHal" w:cs="Tahoma"/>
                  <w:sz w:val="22"/>
                  <w:szCs w:val="22"/>
                  <w:lang w:val="hr-HR"/>
                </w:rPr>
                <w:t>ir@t.ht.hr</w:t>
              </w:r>
            </w:hyperlink>
          </w:p>
        </w:tc>
      </w:tr>
      <w:tr w:rsidR="003E4626" w:rsidRPr="00960D6B" w:rsidTr="00430B60">
        <w:tc>
          <w:tcPr>
            <w:tcW w:w="5070" w:type="dxa"/>
          </w:tcPr>
          <w:p w:rsidR="003E4626" w:rsidRPr="00960D6B" w:rsidRDefault="003E4626" w:rsidP="00430B60">
            <w:pPr>
              <w:jc w:val="both"/>
              <w:rPr>
                <w:rFonts w:ascii="Tele-GroteskEEHal" w:hAnsi="Tele-GroteskEEHal" w:cs="Tahoma"/>
                <w:lang w:val="hr-HR"/>
              </w:rPr>
            </w:pPr>
          </w:p>
        </w:tc>
        <w:tc>
          <w:tcPr>
            <w:tcW w:w="4469" w:type="dxa"/>
          </w:tcPr>
          <w:p w:rsidR="003E4626" w:rsidRPr="00960D6B" w:rsidRDefault="003E4626" w:rsidP="00430B60">
            <w:pPr>
              <w:jc w:val="both"/>
              <w:rPr>
                <w:rFonts w:ascii="Tele-GroteskEEHal" w:hAnsi="Tele-GroteskEEHal" w:cs="Tahoma"/>
                <w:lang w:val="hr-HR"/>
              </w:rPr>
            </w:pPr>
          </w:p>
        </w:tc>
      </w:tr>
      <w:tr w:rsidR="003E4626" w:rsidRPr="00960D6B" w:rsidTr="00430B60">
        <w:tc>
          <w:tcPr>
            <w:tcW w:w="5070" w:type="dxa"/>
          </w:tcPr>
          <w:p w:rsidR="003E4626" w:rsidRPr="00960D6B" w:rsidRDefault="003E4626" w:rsidP="00430B60">
            <w:pPr>
              <w:jc w:val="both"/>
              <w:rPr>
                <w:rFonts w:ascii="Tele-GroteskEEHal" w:hAnsi="Tele-GroteskEEHal" w:cs="Tahoma"/>
                <w:b/>
                <w:bCs/>
                <w:lang w:val="hr-HR"/>
              </w:rPr>
            </w:pPr>
            <w:r w:rsidRPr="00960D6B">
              <w:rPr>
                <w:rFonts w:ascii="Tele-GroteskEEHal" w:hAnsi="Tele-GroteskEEHal" w:cs="Tahoma"/>
                <w:b/>
                <w:bCs/>
                <w:sz w:val="22"/>
                <w:szCs w:val="22"/>
                <w:lang w:val="hr-HR"/>
              </w:rPr>
              <w:t>College Hill</w:t>
            </w:r>
          </w:p>
        </w:tc>
        <w:tc>
          <w:tcPr>
            <w:tcW w:w="4469" w:type="dxa"/>
          </w:tcPr>
          <w:p w:rsidR="003E4626" w:rsidRPr="00960D6B" w:rsidRDefault="003E4626" w:rsidP="00430B60">
            <w:pPr>
              <w:keepNext/>
              <w:spacing w:before="240" w:after="60"/>
              <w:jc w:val="both"/>
              <w:rPr>
                <w:rFonts w:ascii="Tele-GroteskEEHal" w:hAnsi="Tele-GroteskEEHal" w:cs="Tahoma"/>
                <w:lang w:val="hr-HR"/>
              </w:rPr>
            </w:pPr>
          </w:p>
        </w:tc>
      </w:tr>
      <w:tr w:rsidR="003E4626" w:rsidRPr="00960D6B" w:rsidTr="00430B60">
        <w:tc>
          <w:tcPr>
            <w:tcW w:w="5070" w:type="dxa"/>
          </w:tcPr>
          <w:p w:rsidR="003E4626" w:rsidRPr="00960D6B" w:rsidRDefault="003E4626" w:rsidP="00430B60">
            <w:pPr>
              <w:jc w:val="both"/>
              <w:rPr>
                <w:rFonts w:ascii="Tele-GroteskEEHal" w:hAnsi="Tele-GroteskEEHal" w:cs="Tahoma"/>
                <w:lang w:val="hr-HR"/>
              </w:rPr>
            </w:pPr>
            <w:r w:rsidRPr="00960D6B">
              <w:rPr>
                <w:rFonts w:ascii="Tele-GroteskEEHal" w:hAnsi="Tele-GroteskEEHal" w:cs="Tahoma"/>
                <w:sz w:val="22"/>
                <w:szCs w:val="22"/>
                <w:lang w:val="hr-HR"/>
              </w:rPr>
              <w:t>Kay Larsen / Adrian Duffield</w:t>
            </w:r>
          </w:p>
        </w:tc>
        <w:tc>
          <w:tcPr>
            <w:tcW w:w="4469" w:type="dxa"/>
          </w:tcPr>
          <w:p w:rsidR="003E4626" w:rsidRPr="00960D6B" w:rsidRDefault="003E4626" w:rsidP="00430B60">
            <w:pPr>
              <w:jc w:val="both"/>
              <w:rPr>
                <w:rFonts w:ascii="Tele-GroteskEEHal" w:hAnsi="Tele-GroteskEEHal" w:cs="Tahoma"/>
                <w:lang w:val="hr-HR"/>
              </w:rPr>
            </w:pPr>
            <w:r w:rsidRPr="00960D6B">
              <w:rPr>
                <w:rFonts w:ascii="Tele-GroteskEEHal" w:hAnsi="Tele-GroteskEEHal" w:cs="Tahoma"/>
                <w:sz w:val="22"/>
                <w:szCs w:val="22"/>
                <w:lang w:val="hr-HR"/>
              </w:rPr>
              <w:t>+44 207 457 2020</w:t>
            </w:r>
          </w:p>
        </w:tc>
      </w:tr>
    </w:tbl>
    <w:p w:rsidR="003E4626" w:rsidRPr="00960D6B" w:rsidRDefault="003E4626" w:rsidP="00ED3B34">
      <w:pPr>
        <w:jc w:val="both"/>
        <w:rPr>
          <w:rFonts w:ascii="Tele-GroteskEEHal" w:hAnsi="Tele-GroteskEEHal" w:cs="Tahoma"/>
          <w:sz w:val="22"/>
          <w:szCs w:val="22"/>
          <w:lang w:val="hr-HR"/>
        </w:rPr>
      </w:pPr>
    </w:p>
    <w:p w:rsidR="003E4626" w:rsidRPr="00960D6B" w:rsidRDefault="003E4626" w:rsidP="00ED3B34">
      <w:pPr>
        <w:jc w:val="both"/>
        <w:rPr>
          <w:rFonts w:ascii="Tele-GroteskEEHal" w:hAnsi="Tele-GroteskEEHal" w:cs="Tahoma"/>
          <w:sz w:val="22"/>
          <w:szCs w:val="22"/>
          <w:lang w:val="hr-HR"/>
        </w:rPr>
      </w:pPr>
    </w:p>
    <w:p w:rsidR="003E4626" w:rsidRDefault="003E4626" w:rsidP="00ED3B34">
      <w:pPr>
        <w:jc w:val="both"/>
        <w:rPr>
          <w:rFonts w:ascii="Tele-GroteskEEHal" w:hAnsi="Tele-GroteskEEHal" w:cs="Tele-GroteskEEHal"/>
          <w:sz w:val="22"/>
          <w:szCs w:val="22"/>
          <w:lang w:val="hr-HR"/>
        </w:rPr>
      </w:pPr>
      <w:r w:rsidRPr="00960D6B">
        <w:rPr>
          <w:rFonts w:ascii="Tele-GroteskEEHal" w:hAnsi="Tele-GroteskEEHal" w:cs="Tele-GroteskEEHal"/>
          <w:sz w:val="22"/>
          <w:szCs w:val="22"/>
          <w:lang w:val="hr-HR"/>
        </w:rPr>
        <w:t>Konferencijski poziv za analitičare i ulagatelje počet će danas u 14:00 po griničkom vremenu / 15:00 po srednjeeuropskom vremenu. U nastavku slijede telefonski brojevi:</w:t>
      </w:r>
    </w:p>
    <w:p w:rsidR="003E4626" w:rsidRPr="00960D6B" w:rsidRDefault="003E4626" w:rsidP="00ED3B34">
      <w:pPr>
        <w:jc w:val="both"/>
        <w:rPr>
          <w:rFonts w:ascii="Tele-GroteskEEHal" w:hAnsi="Tele-GroteskEEHal" w:cs="Tele-GroteskEEHal"/>
          <w:sz w:val="22"/>
          <w:szCs w:val="22"/>
          <w:lang w:val="hr-HR"/>
        </w:rPr>
      </w:pPr>
    </w:p>
    <w:tbl>
      <w:tblPr>
        <w:tblW w:w="8721" w:type="dxa"/>
        <w:tblLook w:val="0000"/>
      </w:tblPr>
      <w:tblGrid>
        <w:gridCol w:w="4376"/>
        <w:gridCol w:w="4345"/>
      </w:tblGrid>
      <w:tr w:rsidR="003E4626" w:rsidRPr="00052933" w:rsidTr="00430B60">
        <w:tc>
          <w:tcPr>
            <w:tcW w:w="4376" w:type="dxa"/>
          </w:tcPr>
          <w:p w:rsidR="003E4626" w:rsidRPr="00052933" w:rsidRDefault="003E4626" w:rsidP="00430B60">
            <w:pPr>
              <w:rPr>
                <w:rFonts w:ascii="Tele-GroteskEEHal" w:hAnsi="Tele-GroteskEEHal" w:cs="Tahoma"/>
                <w:lang w:val="hr-HR"/>
              </w:rPr>
            </w:pPr>
            <w:r w:rsidRPr="00052933">
              <w:rPr>
                <w:rFonts w:ascii="Tele-GroteskEEHal" w:hAnsi="Tele-GroteskEEHal" w:cs="Tahoma"/>
                <w:sz w:val="22"/>
                <w:szCs w:val="22"/>
                <w:lang w:val="hr-HR"/>
              </w:rPr>
              <w:t>Međunarodni telefonski broj</w:t>
            </w:r>
          </w:p>
        </w:tc>
        <w:tc>
          <w:tcPr>
            <w:tcW w:w="4345" w:type="dxa"/>
          </w:tcPr>
          <w:p w:rsidR="003E4626" w:rsidRPr="00052933" w:rsidRDefault="003E4626" w:rsidP="00430B60">
            <w:pPr>
              <w:rPr>
                <w:rFonts w:ascii="Tele-GroteskEEHal" w:hAnsi="Tele-GroteskEEHal" w:cs="Tahoma"/>
                <w:b/>
                <w:lang w:val="hr-HR"/>
              </w:rPr>
            </w:pPr>
            <w:r w:rsidRPr="00052933">
              <w:rPr>
                <w:rFonts w:ascii="Tele-GroteskEEHal" w:hAnsi="Tele-GroteskEEHal" w:cs="Tahoma"/>
                <w:b/>
                <w:sz w:val="22"/>
                <w:szCs w:val="22"/>
                <w:lang w:val="hr-HR"/>
              </w:rPr>
              <w:t>+44 (0) 1452 555 566</w:t>
            </w:r>
          </w:p>
        </w:tc>
      </w:tr>
      <w:tr w:rsidR="003E4626" w:rsidRPr="00052933" w:rsidTr="00430B60">
        <w:tc>
          <w:tcPr>
            <w:tcW w:w="4376" w:type="dxa"/>
          </w:tcPr>
          <w:p w:rsidR="003E4626" w:rsidRPr="00052933" w:rsidRDefault="003E4626" w:rsidP="00430B60">
            <w:pPr>
              <w:rPr>
                <w:rFonts w:ascii="Tele-GroteskEEHal" w:hAnsi="Tele-GroteskEEHal" w:cs="Tahoma"/>
                <w:lang w:val="hr-HR"/>
              </w:rPr>
            </w:pPr>
            <w:r w:rsidRPr="00052933">
              <w:rPr>
                <w:rFonts w:ascii="Tele-GroteskEEHal" w:hAnsi="Tele-GroteskEEHal" w:cs="Tahoma"/>
                <w:sz w:val="22"/>
                <w:szCs w:val="22"/>
                <w:lang w:val="hr-HR"/>
              </w:rPr>
              <w:t xml:space="preserve">Telefonski broj za Ujedinjeno Kraljevstvo </w:t>
            </w:r>
          </w:p>
        </w:tc>
        <w:tc>
          <w:tcPr>
            <w:tcW w:w="4345" w:type="dxa"/>
          </w:tcPr>
          <w:p w:rsidR="003E4626" w:rsidRPr="00052933" w:rsidRDefault="003E4626" w:rsidP="00430B60">
            <w:pPr>
              <w:rPr>
                <w:rFonts w:ascii="Tele-GroteskEEHal" w:hAnsi="Tele-GroteskEEHal" w:cs="Tahoma"/>
                <w:b/>
                <w:lang w:val="hr-HR"/>
              </w:rPr>
            </w:pPr>
            <w:r w:rsidRPr="00052933">
              <w:rPr>
                <w:rFonts w:ascii="Tele-GroteskEEHal" w:hAnsi="Tele-GroteskEEHal" w:cs="Tahoma"/>
                <w:b/>
                <w:sz w:val="22"/>
                <w:szCs w:val="22"/>
                <w:lang w:val="hr-HR"/>
              </w:rPr>
              <w:t>0800 694 0257</w:t>
            </w:r>
          </w:p>
        </w:tc>
      </w:tr>
      <w:tr w:rsidR="003E4626" w:rsidRPr="00052933" w:rsidTr="00430B60">
        <w:tc>
          <w:tcPr>
            <w:tcW w:w="4376" w:type="dxa"/>
          </w:tcPr>
          <w:p w:rsidR="003E4626" w:rsidRPr="00052933" w:rsidRDefault="003E4626" w:rsidP="00430B60">
            <w:pPr>
              <w:rPr>
                <w:rFonts w:ascii="Tele-GroteskEEHal" w:hAnsi="Tele-GroteskEEHal" w:cs="Tahoma"/>
                <w:lang w:val="hr-HR"/>
              </w:rPr>
            </w:pPr>
            <w:r w:rsidRPr="00052933">
              <w:rPr>
                <w:rFonts w:ascii="Tele-GroteskEEHal" w:hAnsi="Tele-GroteskEEHal" w:cs="Tahoma"/>
                <w:sz w:val="22"/>
                <w:szCs w:val="22"/>
                <w:lang w:val="hr-HR"/>
              </w:rPr>
              <w:t>Pristupni konferencijski kod</w:t>
            </w:r>
          </w:p>
        </w:tc>
        <w:tc>
          <w:tcPr>
            <w:tcW w:w="4345" w:type="dxa"/>
          </w:tcPr>
          <w:p w:rsidR="003E4626" w:rsidRPr="00052933" w:rsidRDefault="003E4626" w:rsidP="00430B60">
            <w:pPr>
              <w:rPr>
                <w:rFonts w:ascii="Tele-GroteskEEHal" w:hAnsi="Tele-GroteskEEHal" w:cs="Tahoma"/>
                <w:b/>
                <w:lang w:val="hr-HR"/>
              </w:rPr>
            </w:pPr>
            <w:r w:rsidRPr="00052933">
              <w:rPr>
                <w:rFonts w:ascii="Tele-GroteskEEHal" w:hAnsi="Tele-GroteskEEHal" w:cs="Tahoma"/>
                <w:b/>
                <w:sz w:val="22"/>
                <w:szCs w:val="22"/>
              </w:rPr>
              <w:t>20913459</w:t>
            </w:r>
          </w:p>
        </w:tc>
      </w:tr>
    </w:tbl>
    <w:p w:rsidR="003E4626" w:rsidRPr="00052933" w:rsidRDefault="003E4626" w:rsidP="00ED3B34">
      <w:pPr>
        <w:pStyle w:val="BodyText"/>
        <w:jc w:val="both"/>
        <w:rPr>
          <w:rFonts w:ascii="Tele-GroteskEEHal" w:hAnsi="Tele-GroteskEEHal"/>
          <w:sz w:val="22"/>
          <w:szCs w:val="22"/>
          <w:lang w:val="hr-HR"/>
        </w:rPr>
      </w:pPr>
    </w:p>
    <w:p w:rsidR="003E4626" w:rsidRDefault="003E4626" w:rsidP="00ED3B34">
      <w:pPr>
        <w:pStyle w:val="ListBulletdash"/>
        <w:numPr>
          <w:ilvl w:val="0"/>
          <w:numId w:val="0"/>
        </w:numPr>
        <w:jc w:val="both"/>
        <w:rPr>
          <w:rFonts w:ascii="Tele-GroteskEEHal" w:hAnsi="Tele-GroteskEEHal"/>
          <w:sz w:val="22"/>
          <w:szCs w:val="22"/>
          <w:lang w:val="hr-HR"/>
        </w:rPr>
      </w:pPr>
      <w:r w:rsidRPr="00052933">
        <w:rPr>
          <w:rFonts w:ascii="Tele-GroteskEEHal" w:hAnsi="Tele-GroteskEEHal"/>
          <w:sz w:val="22"/>
          <w:szCs w:val="22"/>
          <w:lang w:val="hr-HR"/>
        </w:rPr>
        <w:t xml:space="preserve">Ponavljanje poziva moguće je do četvrtka </w:t>
      </w:r>
      <w:r>
        <w:rPr>
          <w:rFonts w:ascii="Tele-GroteskEEHal" w:hAnsi="Tele-GroteskEEHal"/>
          <w:sz w:val="22"/>
          <w:szCs w:val="22"/>
          <w:lang w:val="hr-HR"/>
        </w:rPr>
        <w:t>3</w:t>
      </w:r>
      <w:r w:rsidRPr="00052933">
        <w:rPr>
          <w:rFonts w:ascii="Tele-GroteskEEHal" w:hAnsi="Tele-GroteskEEHal"/>
          <w:sz w:val="22"/>
          <w:szCs w:val="22"/>
          <w:lang w:val="hr-HR"/>
        </w:rPr>
        <w:t xml:space="preserve">. </w:t>
      </w:r>
      <w:r>
        <w:rPr>
          <w:rFonts w:ascii="Tele-GroteskEEHal" w:hAnsi="Tele-GroteskEEHal"/>
          <w:sz w:val="22"/>
          <w:szCs w:val="22"/>
          <w:lang w:val="hr-HR"/>
        </w:rPr>
        <w:t>studenoga</w:t>
      </w:r>
      <w:r w:rsidRPr="00052933">
        <w:rPr>
          <w:rFonts w:ascii="Tele-GroteskEEHal" w:hAnsi="Tele-GroteskEEHal"/>
          <w:sz w:val="22"/>
          <w:szCs w:val="22"/>
          <w:lang w:val="hr-HR"/>
        </w:rPr>
        <w:t xml:space="preserve"> 2011. na sljedeće telefonske brojeve:</w:t>
      </w:r>
    </w:p>
    <w:p w:rsidR="003E4626" w:rsidRPr="00052933" w:rsidRDefault="003E4626" w:rsidP="00ED3B34">
      <w:pPr>
        <w:pStyle w:val="ListBulletdash"/>
        <w:numPr>
          <w:ilvl w:val="0"/>
          <w:numId w:val="0"/>
        </w:numPr>
        <w:jc w:val="both"/>
        <w:rPr>
          <w:rFonts w:ascii="Tele-GroteskEEHal" w:hAnsi="Tele-GroteskEEHal"/>
          <w:sz w:val="22"/>
          <w:szCs w:val="22"/>
          <w:lang w:val="hr-HR"/>
        </w:rPr>
      </w:pPr>
    </w:p>
    <w:tbl>
      <w:tblPr>
        <w:tblW w:w="8721" w:type="dxa"/>
        <w:tblLook w:val="0000"/>
      </w:tblPr>
      <w:tblGrid>
        <w:gridCol w:w="4368"/>
        <w:gridCol w:w="4353"/>
      </w:tblGrid>
      <w:tr w:rsidR="003E4626" w:rsidRPr="00052933" w:rsidTr="00430B60">
        <w:tc>
          <w:tcPr>
            <w:tcW w:w="4368" w:type="dxa"/>
          </w:tcPr>
          <w:p w:rsidR="003E4626" w:rsidRPr="00052933" w:rsidRDefault="003E4626" w:rsidP="00430B60">
            <w:pPr>
              <w:rPr>
                <w:rFonts w:ascii="Tele-GroteskEEHal" w:hAnsi="Tele-GroteskEEHal" w:cs="Tahoma"/>
                <w:lang w:val="hr-HR"/>
              </w:rPr>
            </w:pPr>
            <w:r w:rsidRPr="00052933">
              <w:rPr>
                <w:rFonts w:ascii="Tele-GroteskEEHal" w:hAnsi="Tele-GroteskEEHal" w:cs="Tahoma"/>
                <w:sz w:val="22"/>
                <w:szCs w:val="22"/>
                <w:lang w:val="hr-HR"/>
              </w:rPr>
              <w:t>Međunarodni telefonski broj</w:t>
            </w:r>
          </w:p>
        </w:tc>
        <w:tc>
          <w:tcPr>
            <w:tcW w:w="4353" w:type="dxa"/>
          </w:tcPr>
          <w:p w:rsidR="003E4626" w:rsidRPr="00052933" w:rsidRDefault="003E4626" w:rsidP="00430B60">
            <w:pPr>
              <w:rPr>
                <w:rFonts w:ascii="Tele-GroteskEEHal" w:hAnsi="Tele-GroteskEEHal" w:cs="Tahoma"/>
                <w:b/>
                <w:lang w:val="hr-HR"/>
              </w:rPr>
            </w:pPr>
            <w:r w:rsidRPr="00052933">
              <w:rPr>
                <w:rFonts w:ascii="Tele-GroteskEEHal" w:hAnsi="Tele-GroteskEEHal" w:cs="Tahoma"/>
                <w:b/>
                <w:sz w:val="22"/>
                <w:szCs w:val="22"/>
                <w:lang w:val="hr-HR"/>
              </w:rPr>
              <w:t xml:space="preserve">+44 (0) 1452 550 000  </w:t>
            </w:r>
          </w:p>
        </w:tc>
      </w:tr>
      <w:tr w:rsidR="003E4626" w:rsidRPr="00052933" w:rsidTr="00430B60">
        <w:tc>
          <w:tcPr>
            <w:tcW w:w="4368" w:type="dxa"/>
          </w:tcPr>
          <w:p w:rsidR="003E4626" w:rsidRPr="00052933" w:rsidRDefault="003E4626" w:rsidP="00430B60">
            <w:pPr>
              <w:rPr>
                <w:rFonts w:ascii="Tele-GroteskEEHal" w:hAnsi="Tele-GroteskEEHal" w:cs="Tahoma"/>
                <w:lang w:val="hr-HR"/>
              </w:rPr>
            </w:pPr>
            <w:r w:rsidRPr="00052933">
              <w:rPr>
                <w:rFonts w:ascii="Tele-GroteskEEHal" w:hAnsi="Tele-GroteskEEHal" w:cs="Tahoma"/>
                <w:sz w:val="22"/>
                <w:szCs w:val="22"/>
                <w:lang w:val="hr-HR"/>
              </w:rPr>
              <w:t>Telefonski broj za Ujedinjeno Kraljevstvo (samo s fiksne linije)</w:t>
            </w:r>
          </w:p>
        </w:tc>
        <w:tc>
          <w:tcPr>
            <w:tcW w:w="4353" w:type="dxa"/>
          </w:tcPr>
          <w:p w:rsidR="003E4626" w:rsidRPr="00052933" w:rsidRDefault="003E4626" w:rsidP="00430B60">
            <w:pPr>
              <w:rPr>
                <w:rFonts w:ascii="Tele-GroteskEEHal" w:hAnsi="Tele-GroteskEEHal" w:cs="Tahoma"/>
                <w:b/>
                <w:lang w:val="hr-HR"/>
              </w:rPr>
            </w:pPr>
            <w:r w:rsidRPr="00052933">
              <w:rPr>
                <w:rFonts w:ascii="Tele-GroteskEEHal" w:hAnsi="Tele-GroteskEEHal" w:cs="Tahoma"/>
                <w:b/>
                <w:sz w:val="22"/>
                <w:szCs w:val="22"/>
                <w:lang w:val="hr-HR"/>
              </w:rPr>
              <w:t>0800 953 1533</w:t>
            </w:r>
          </w:p>
        </w:tc>
      </w:tr>
      <w:tr w:rsidR="003E4626" w:rsidRPr="00960D6B" w:rsidTr="00430B60">
        <w:tc>
          <w:tcPr>
            <w:tcW w:w="4368" w:type="dxa"/>
          </w:tcPr>
          <w:p w:rsidR="003E4626" w:rsidRPr="00052933" w:rsidRDefault="003E4626" w:rsidP="00430B60">
            <w:pPr>
              <w:rPr>
                <w:rFonts w:ascii="Tele-GroteskEEHal" w:hAnsi="Tele-GroteskEEHal" w:cs="Tahoma"/>
                <w:lang w:val="hr-HR"/>
              </w:rPr>
            </w:pPr>
            <w:r w:rsidRPr="00052933">
              <w:rPr>
                <w:rFonts w:ascii="Tele-GroteskEEHal" w:hAnsi="Tele-GroteskEEHal" w:cs="Tahoma"/>
                <w:sz w:val="22"/>
                <w:szCs w:val="22"/>
                <w:lang w:val="hr-HR"/>
              </w:rPr>
              <w:t>Pristupni konferencijski kod</w:t>
            </w:r>
          </w:p>
        </w:tc>
        <w:tc>
          <w:tcPr>
            <w:tcW w:w="4353" w:type="dxa"/>
          </w:tcPr>
          <w:p w:rsidR="003E4626" w:rsidRPr="00960D6B" w:rsidRDefault="003E4626" w:rsidP="00430B60">
            <w:pPr>
              <w:rPr>
                <w:rFonts w:ascii="Tele-GroteskEEHal" w:hAnsi="Tele-GroteskEEHal" w:cs="Tahoma"/>
                <w:b/>
                <w:lang w:val="hr-HR"/>
              </w:rPr>
            </w:pPr>
            <w:r w:rsidRPr="00622BBC">
              <w:rPr>
                <w:rFonts w:ascii="Tele-GroteskEEHal" w:hAnsi="Tele-GroteskEEHal" w:cs="Tahoma"/>
                <w:b/>
                <w:sz w:val="22"/>
                <w:szCs w:val="22"/>
              </w:rPr>
              <w:t>20913459#</w:t>
            </w:r>
          </w:p>
        </w:tc>
      </w:tr>
    </w:tbl>
    <w:p w:rsidR="003E4626" w:rsidRPr="00960D6B" w:rsidRDefault="003E4626" w:rsidP="00ED3B34">
      <w:pPr>
        <w:pStyle w:val="BodyText"/>
        <w:jc w:val="both"/>
        <w:rPr>
          <w:rFonts w:ascii="Tele-GroteskEEHal" w:hAnsi="Tele-GroteskEEHal"/>
          <w:sz w:val="22"/>
          <w:szCs w:val="22"/>
          <w:lang w:val="hr-HR"/>
        </w:rPr>
      </w:pPr>
    </w:p>
    <w:p w:rsidR="003E4626" w:rsidRPr="00960D6B" w:rsidRDefault="003E4626" w:rsidP="00ED3B34">
      <w:pPr>
        <w:jc w:val="both"/>
        <w:rPr>
          <w:rFonts w:ascii="Tele-GroteskEEHal" w:hAnsi="Tele-GroteskEEHal"/>
          <w:sz w:val="22"/>
          <w:szCs w:val="22"/>
          <w:lang w:val="hr-HR"/>
        </w:rPr>
      </w:pPr>
      <w:r w:rsidRPr="00960D6B">
        <w:rPr>
          <w:rFonts w:ascii="Tele-GroteskEEHal" w:hAnsi="Tele-GroteskEEHal" w:cs="Tele-GroteskEEHal"/>
          <w:sz w:val="22"/>
          <w:szCs w:val="22"/>
          <w:lang w:val="hr-HR"/>
        </w:rPr>
        <w:t xml:space="preserve">Prezentaciju rezultata za prvih </w:t>
      </w:r>
      <w:r>
        <w:rPr>
          <w:rFonts w:ascii="Tele-GroteskEEHal" w:hAnsi="Tele-GroteskEEHal" w:cs="Tele-GroteskEEHal"/>
          <w:sz w:val="22"/>
          <w:szCs w:val="22"/>
          <w:lang w:val="hr-HR"/>
        </w:rPr>
        <w:t>devet</w:t>
      </w:r>
      <w:r w:rsidRPr="00960D6B">
        <w:rPr>
          <w:rFonts w:ascii="Tele-GroteskEEHal" w:hAnsi="Tele-GroteskEEHal" w:cs="Tele-GroteskEEHal"/>
          <w:sz w:val="22"/>
          <w:szCs w:val="22"/>
          <w:lang w:val="hr-HR"/>
        </w:rPr>
        <w:t xml:space="preserve"> mjeseci 2011. možete preuzeti s internetske stranice T-HT-a.</w:t>
      </w:r>
      <w:r w:rsidRPr="00960D6B">
        <w:rPr>
          <w:rFonts w:ascii="Tele-GroteskEEHal" w:hAnsi="Tele-GroteskEEHal" w:cs="Tahoma"/>
          <w:sz w:val="22"/>
          <w:szCs w:val="22"/>
          <w:lang w:val="hr-HR"/>
        </w:rPr>
        <w:t xml:space="preserve"> </w:t>
      </w:r>
    </w:p>
    <w:p w:rsidR="003E4626" w:rsidRPr="00960D6B" w:rsidRDefault="003E4626" w:rsidP="00ED3B34">
      <w:pPr>
        <w:rPr>
          <w:rFonts w:ascii="Tele-GroteskEEHal" w:hAnsi="Tele-GroteskEEHal"/>
          <w:sz w:val="22"/>
          <w:szCs w:val="22"/>
          <w:lang w:val="hr-HR"/>
        </w:rPr>
      </w:pPr>
      <w:r w:rsidRPr="00960D6B">
        <w:rPr>
          <w:rFonts w:ascii="Tele-GroteskEEHal" w:hAnsi="Tele-GroteskEEHal"/>
          <w:sz w:val="22"/>
          <w:szCs w:val="22"/>
          <w:lang w:val="hr-HR"/>
        </w:rPr>
        <w:t>(</w:t>
      </w:r>
      <w:hyperlink r:id="rId8" w:history="1">
        <w:r w:rsidRPr="00B33EAF">
          <w:rPr>
            <w:rStyle w:val="Hyperlink"/>
            <w:rFonts w:ascii="Tele-GroteskEEHal" w:hAnsi="Tele-GroteskEEHal" w:cs="Tahoma"/>
            <w:sz w:val="22"/>
            <w:szCs w:val="22"/>
            <w:lang w:val="hr-HR"/>
          </w:rPr>
          <w:t>www.t.ht.hr/eng/investitori</w:t>
        </w:r>
      </w:hyperlink>
      <w:r>
        <w:t>/</w:t>
      </w:r>
      <w:r w:rsidRPr="00960D6B">
        <w:rPr>
          <w:rFonts w:ascii="Tele-GroteskEEHal" w:hAnsi="Tele-GroteskEEHal"/>
          <w:sz w:val="22"/>
          <w:szCs w:val="22"/>
          <w:lang w:val="hr-HR"/>
        </w:rPr>
        <w:t>)</w:t>
      </w:r>
    </w:p>
    <w:p w:rsidR="003E4626" w:rsidRPr="00960D6B" w:rsidRDefault="003E4626" w:rsidP="006C12FE">
      <w:pPr>
        <w:jc w:val="both"/>
        <w:rPr>
          <w:rFonts w:ascii="Tele-GroteskEEHal" w:hAnsi="Tele-GroteskEEHal"/>
          <w:b/>
          <w:bCs/>
          <w:i/>
          <w:sz w:val="22"/>
          <w:szCs w:val="22"/>
          <w:lang w:val="hr-HR"/>
        </w:rPr>
      </w:pPr>
      <w:r w:rsidRPr="00960D6B">
        <w:rPr>
          <w:rFonts w:ascii="Tele-GroteskEEHal" w:hAnsi="Tele-GroteskEEHal"/>
          <w:b/>
          <w:bCs/>
          <w:i/>
          <w:sz w:val="22"/>
          <w:szCs w:val="22"/>
          <w:lang w:val="hr-HR"/>
        </w:rPr>
        <w:t>O T-Hrvatskom Telekomu</w:t>
      </w:r>
    </w:p>
    <w:p w:rsidR="003E4626" w:rsidRPr="00960D6B" w:rsidRDefault="003E4626" w:rsidP="006C12FE">
      <w:pPr>
        <w:jc w:val="both"/>
        <w:rPr>
          <w:rFonts w:ascii="Tele-GroteskEEHal" w:hAnsi="Tele-GroteskEEHal"/>
          <w:i/>
          <w:sz w:val="22"/>
          <w:szCs w:val="22"/>
          <w:lang w:val="hr-HR"/>
        </w:rPr>
      </w:pPr>
      <w:r w:rsidRPr="00960D6B">
        <w:rPr>
          <w:rFonts w:ascii="Tele-GroteskEEHal" w:hAnsi="Tele-GroteskEEHal"/>
          <w:i/>
          <w:sz w:val="22"/>
          <w:szCs w:val="22"/>
          <w:lang w:val="hr-HR"/>
        </w:rPr>
        <w:t xml:space="preserve">T-Hrvatski Telekom (T-HT) vodeći je davatelj telekomunikacijskih usluga u Hrvatskoj, a kroz svoje Poslovne jedinice za privatne i poslovne korisnike opslužuje više od 1,3 milijuna linija u nepokretnoj mreži, gotovo 2,5 milijuna pretplatnika u pokretnoj mreži i 648.000 širokopojasnih priključaka. </w:t>
      </w:r>
    </w:p>
    <w:p w:rsidR="003E4626" w:rsidRPr="00960D6B" w:rsidRDefault="003E4626" w:rsidP="006C12FE">
      <w:pPr>
        <w:jc w:val="both"/>
        <w:rPr>
          <w:rFonts w:ascii="Tele-GroteskEEHal" w:hAnsi="Tele-GroteskEEHal"/>
          <w:i/>
          <w:sz w:val="22"/>
          <w:szCs w:val="22"/>
          <w:lang w:val="hr-HR"/>
        </w:rPr>
      </w:pPr>
      <w:r w:rsidRPr="00960D6B">
        <w:rPr>
          <w:rFonts w:ascii="Tele-GroteskEEHal" w:hAnsi="Tele-GroteskEEHal"/>
          <w:i/>
          <w:sz w:val="22"/>
          <w:szCs w:val="22"/>
          <w:lang w:val="hr-HR"/>
        </w:rPr>
        <w:t>Od prve javne ponude dionica u listopadu 2007. na Zagrebačkoj se burzi trguje dionicama T-HT-a, dok se na Londonskoj burzi trguje globalnim potvrdama depozitara. Deutsche Telekom AG posjeduje 51% dionica T-HT-a, a Fond hrvatskih branitelja iz Domovinskog rata i članova njihovih obitelji 7%. Preostali dio dionica u rukama je privatnih i institucionalnih ulagatelja.</w:t>
      </w:r>
    </w:p>
    <w:p w:rsidR="003E4626" w:rsidRPr="00960D6B" w:rsidRDefault="003E4626" w:rsidP="001F0606">
      <w:pPr>
        <w:suppressAutoHyphens w:val="0"/>
        <w:rPr>
          <w:rFonts w:ascii="Tele-GroteskEEHal" w:hAnsi="Tele-GroteskEEHal" w:cs="Tahoma"/>
          <w:b/>
          <w:sz w:val="28"/>
          <w:szCs w:val="28"/>
          <w:lang w:val="hr-HR"/>
        </w:rPr>
      </w:pPr>
    </w:p>
    <w:p w:rsidR="003E4626" w:rsidRPr="00960D6B" w:rsidRDefault="003E4626" w:rsidP="001F0606">
      <w:pPr>
        <w:suppressAutoHyphens w:val="0"/>
        <w:rPr>
          <w:rFonts w:ascii="Tele-GroteskEEHal" w:hAnsi="Tele-GroteskEEHal" w:cs="Tahoma"/>
          <w:b/>
          <w:sz w:val="28"/>
          <w:szCs w:val="28"/>
          <w:lang w:val="hr-HR"/>
        </w:rPr>
      </w:pPr>
    </w:p>
    <w:p w:rsidR="003E4626" w:rsidRPr="00960D6B" w:rsidRDefault="003E4626" w:rsidP="001F0606">
      <w:pPr>
        <w:suppressAutoHyphens w:val="0"/>
        <w:rPr>
          <w:rFonts w:ascii="Tele-GroteskEEHal" w:hAnsi="Tele-GroteskEEHal" w:cs="Tahoma"/>
          <w:b/>
          <w:color w:val="000000"/>
          <w:sz w:val="28"/>
          <w:szCs w:val="28"/>
          <w:lang w:val="hr-HR"/>
        </w:rPr>
      </w:pPr>
      <w:r w:rsidRPr="00960D6B">
        <w:rPr>
          <w:rFonts w:ascii="Tele-GroteskEEHal" w:hAnsi="Tele-GroteskEEHal" w:cs="Tahoma"/>
          <w:b/>
          <w:sz w:val="28"/>
          <w:szCs w:val="28"/>
          <w:lang w:val="hr-HR"/>
        </w:rPr>
        <w:t xml:space="preserve">Rezultati za devet mjeseci do </w:t>
      </w:r>
      <w:r w:rsidRPr="00960D6B">
        <w:rPr>
          <w:rFonts w:ascii="Tele-GroteskEEHal" w:hAnsi="Tele-GroteskEEHal" w:cs="Tahoma"/>
          <w:b/>
          <w:color w:val="000000"/>
          <w:sz w:val="28"/>
          <w:szCs w:val="28"/>
          <w:lang w:val="hr-HR"/>
        </w:rPr>
        <w:t>30. rujna  2011.</w:t>
      </w:r>
    </w:p>
    <w:p w:rsidR="003E4626" w:rsidRPr="00960D6B" w:rsidRDefault="003E4626" w:rsidP="008A5FFC">
      <w:pPr>
        <w:jc w:val="both"/>
        <w:rPr>
          <w:rFonts w:ascii="Tele-GroteskEEHal" w:hAnsi="Tele-GroteskEEHal" w:cs="Tahoma"/>
          <w:b/>
          <w:sz w:val="22"/>
          <w:szCs w:val="22"/>
          <w:lang w:val="hr-HR"/>
        </w:rPr>
      </w:pPr>
    </w:p>
    <w:p w:rsidR="003E4626" w:rsidRPr="00960D6B" w:rsidRDefault="003E4626" w:rsidP="00247581">
      <w:pPr>
        <w:jc w:val="both"/>
        <w:rPr>
          <w:rFonts w:ascii="Tele-GroteskEEHal" w:hAnsi="Tele-GroteskEEHal"/>
          <w:b/>
          <w:bCs/>
          <w:lang w:val="hr-HR"/>
        </w:rPr>
      </w:pPr>
      <w:r w:rsidRPr="00960D6B">
        <w:rPr>
          <w:rFonts w:ascii="Tele-GroteskEEHal" w:hAnsi="Tele-GroteskEEHal"/>
          <w:b/>
          <w:bCs/>
          <w:lang w:val="hr-HR"/>
        </w:rPr>
        <w:t>Poslovni i financijski pregled</w:t>
      </w:r>
    </w:p>
    <w:p w:rsidR="003E4626" w:rsidRPr="00960D6B" w:rsidRDefault="003E4626" w:rsidP="00247581">
      <w:pPr>
        <w:jc w:val="both"/>
        <w:rPr>
          <w:rFonts w:ascii="Tele-GroteskEEHal" w:hAnsi="Tele-GroteskEEHal"/>
          <w:b/>
          <w:bCs/>
          <w:sz w:val="22"/>
          <w:szCs w:val="22"/>
          <w:lang w:val="hr-HR"/>
        </w:rPr>
      </w:pPr>
    </w:p>
    <w:p w:rsidR="003E4626" w:rsidRPr="00960D6B" w:rsidRDefault="003E4626" w:rsidP="00247581">
      <w:pPr>
        <w:jc w:val="both"/>
        <w:rPr>
          <w:rFonts w:ascii="Tele-GroteskEEHal" w:hAnsi="Tele-GroteskEEHal"/>
          <w:b/>
          <w:bCs/>
          <w:sz w:val="22"/>
          <w:szCs w:val="22"/>
          <w:lang w:val="hr-HR"/>
        </w:rPr>
      </w:pPr>
      <w:r w:rsidRPr="00960D6B">
        <w:rPr>
          <w:rFonts w:ascii="Tele-GroteskEEHal" w:hAnsi="Tele-GroteskEEHal"/>
          <w:b/>
          <w:bCs/>
          <w:sz w:val="22"/>
          <w:szCs w:val="22"/>
          <w:lang w:val="hr-HR"/>
        </w:rPr>
        <w:t>Uvod</w:t>
      </w:r>
    </w:p>
    <w:p w:rsidR="003E4626" w:rsidRPr="00960D6B" w:rsidRDefault="003E4626" w:rsidP="00247581">
      <w:pPr>
        <w:jc w:val="both"/>
        <w:rPr>
          <w:rFonts w:ascii="Tele-GroteskEEHal" w:hAnsi="Tele-GroteskEEHal"/>
          <w:sz w:val="22"/>
          <w:szCs w:val="22"/>
          <w:lang w:val="hr-HR"/>
        </w:rPr>
      </w:pPr>
    </w:p>
    <w:p w:rsidR="003E4626" w:rsidRPr="00960D6B" w:rsidRDefault="003E4626" w:rsidP="00247581">
      <w:pPr>
        <w:jc w:val="both"/>
        <w:rPr>
          <w:rFonts w:ascii="Tele-GroteskEEHal" w:hAnsi="Tele-GroteskEEHal"/>
          <w:sz w:val="22"/>
          <w:szCs w:val="22"/>
          <w:lang w:val="hr-HR"/>
        </w:rPr>
      </w:pPr>
      <w:r w:rsidRPr="00960D6B">
        <w:rPr>
          <w:rFonts w:ascii="Tele-GroteskEEHal" w:hAnsi="Tele-GroteskEEHal"/>
          <w:sz w:val="22"/>
          <w:szCs w:val="22"/>
          <w:lang w:val="hr-HR"/>
        </w:rPr>
        <w:t xml:space="preserve">T-Hrvatski Telekom najveći je davatelj telekomunikacijskih usluga u Hrvatskoj i ima vodeći položaj na tržištu u svim segmentima svoga poslovanja. Na dan 30. rujna 2011. Grupa je opsluživala 1,3 milijuna korisnika u nepokretnoj mreži, gotovo 2,5 milijuna pretplatnika u pokretnoj mreži i 648.000 širokopojasnih priključaka te je pružala televizijske usluge za više od 337.000 korisnika. U ožujku 2010. T-HT je kupio ICT društvo Combis i time bitno proširio mogućnost pružanja integriranih rješenja na poslovnom tržištu u Hrvatskoj. </w:t>
      </w:r>
    </w:p>
    <w:p w:rsidR="003E4626" w:rsidRPr="00960D6B" w:rsidRDefault="003E4626" w:rsidP="003B3475">
      <w:pPr>
        <w:jc w:val="both"/>
        <w:rPr>
          <w:rFonts w:ascii="Tele-GroteskEEHal" w:hAnsi="Tele-GroteskEEHal"/>
          <w:sz w:val="22"/>
          <w:szCs w:val="22"/>
          <w:lang w:val="hr-HR"/>
        </w:rPr>
      </w:pPr>
    </w:p>
    <w:p w:rsidR="003E4626" w:rsidRPr="00960D6B" w:rsidRDefault="003E4626" w:rsidP="008A5FFC">
      <w:pPr>
        <w:jc w:val="both"/>
        <w:rPr>
          <w:rFonts w:ascii="Tele-GroteskEEHal" w:hAnsi="Tele-GroteskEEHal" w:cs="Tahoma"/>
          <w:sz w:val="22"/>
          <w:szCs w:val="22"/>
          <w:lang w:val="hr-HR"/>
        </w:rPr>
      </w:pPr>
    </w:p>
    <w:p w:rsidR="003E4626" w:rsidRPr="00960D6B" w:rsidRDefault="003E4626" w:rsidP="00AE41EB">
      <w:pPr>
        <w:tabs>
          <w:tab w:val="left" w:pos="2190"/>
        </w:tabs>
        <w:jc w:val="both"/>
        <w:rPr>
          <w:rFonts w:ascii="Tele-GroteskEEHal" w:hAnsi="Tele-GroteskEEHal" w:cs="Tahoma"/>
          <w:sz w:val="22"/>
          <w:szCs w:val="22"/>
          <w:lang w:val="hr-HR"/>
        </w:rPr>
      </w:pPr>
      <w:r w:rsidRPr="00960D6B">
        <w:rPr>
          <w:rFonts w:ascii="Tele-GroteskEEHal" w:hAnsi="Tele-GroteskEEHal" w:cs="Tahoma"/>
          <w:b/>
          <w:sz w:val="22"/>
          <w:szCs w:val="22"/>
          <w:lang w:val="hr-HR"/>
        </w:rPr>
        <w:t>Pregled tržišta</w:t>
      </w:r>
    </w:p>
    <w:p w:rsidR="003E4626" w:rsidRPr="00960D6B" w:rsidRDefault="003E4626" w:rsidP="00F353DD">
      <w:pPr>
        <w:widowControl w:val="0"/>
        <w:jc w:val="both"/>
        <w:rPr>
          <w:rFonts w:ascii="Tele-GroteskEEHal" w:hAnsi="Tele-GroteskEEHal"/>
          <w:sz w:val="22"/>
          <w:szCs w:val="22"/>
          <w:lang w:val="hr-HR"/>
        </w:rPr>
      </w:pPr>
    </w:p>
    <w:p w:rsidR="003E4626" w:rsidRPr="00960D6B" w:rsidRDefault="003E4626" w:rsidP="00247581">
      <w:pPr>
        <w:widowControl w:val="0"/>
        <w:jc w:val="both"/>
        <w:rPr>
          <w:rFonts w:ascii="Tele-GroteskEEHal" w:hAnsi="Tele-GroteskEEHal"/>
          <w:sz w:val="22"/>
          <w:szCs w:val="22"/>
          <w:lang w:val="hr-HR"/>
        </w:rPr>
      </w:pPr>
      <w:r w:rsidRPr="00960D6B">
        <w:rPr>
          <w:rFonts w:ascii="Tele-GroteskEEHal" w:hAnsi="Tele-GroteskEEHal"/>
          <w:sz w:val="22"/>
          <w:szCs w:val="22"/>
          <w:lang w:val="hr-HR"/>
        </w:rPr>
        <w:t>U zadnjih nekoliko mjeseci ključni događaj u hrvatskome telekomunikacijskom sektoru je akvizicija vodećega kabelskog operatora B.neta od strane VIPneta, drugoga najvećeg igrača na tržištu pokretne telefonije, u lipnju 2011. Očekuje se da će navedeno povećati tržišno natjecanje u području integriranih telekomunikacijskih proizvoda. Glavna područja rasta u sektoru su širokopojasni pristup i TV, dok je uporaba nepokretne telefonije u stalnom padu u skladu s očekivanjima i svjetskom trendovima. S novom regulacijom vezano uz najam korisničke linije (WLR) i samostalni bitstream koja je na snazi od srpnja 2011. svi operatori sada ostvaruju potpuni doseg u cijeloj zemlji.</w:t>
      </w:r>
    </w:p>
    <w:p w:rsidR="003E4626" w:rsidRPr="00960D6B" w:rsidRDefault="003E4626" w:rsidP="00247581">
      <w:pPr>
        <w:widowControl w:val="0"/>
        <w:jc w:val="both"/>
        <w:rPr>
          <w:rFonts w:ascii="Tele-GroteskEEHal" w:hAnsi="Tele-GroteskEEHal"/>
          <w:sz w:val="22"/>
          <w:szCs w:val="22"/>
          <w:lang w:val="hr-HR"/>
        </w:rPr>
      </w:pPr>
    </w:p>
    <w:p w:rsidR="003E4626" w:rsidRPr="00960D6B" w:rsidRDefault="003E4626" w:rsidP="00247581">
      <w:pPr>
        <w:widowControl w:val="0"/>
        <w:jc w:val="both"/>
        <w:rPr>
          <w:rFonts w:ascii="Tele-GroteskEEHal" w:hAnsi="Tele-GroteskEEHal"/>
          <w:sz w:val="22"/>
          <w:szCs w:val="22"/>
          <w:lang w:val="hr-HR"/>
        </w:rPr>
      </w:pPr>
      <w:r w:rsidRPr="00960D6B">
        <w:rPr>
          <w:rFonts w:ascii="Tele-GroteskEEHal" w:hAnsi="Tele-GroteskEEHal"/>
          <w:sz w:val="22"/>
          <w:szCs w:val="22"/>
          <w:lang w:val="hr-HR"/>
        </w:rPr>
        <w:t>Hrvatsko je tržište pokretnih komunikacija u opadanju tijekom 2011. kao rezultat zasićenja tržišta i utjecaja recesije (smanjena kupovna moć potrošača i porez od 6% na usluge u pokretnoj mreži nametnut u kolovozu 2009.). Međutim, sve veća dostupnost pametnih telefona i uređaja za širokopojasne usluge u pokretnoj mreži dovela je do veće uporabe širokopojasnih usluga u pokretnoj mreži.</w:t>
      </w:r>
    </w:p>
    <w:p w:rsidR="003E4626" w:rsidRPr="00960D6B" w:rsidRDefault="003E4626" w:rsidP="00F353DD">
      <w:pPr>
        <w:widowControl w:val="0"/>
        <w:jc w:val="both"/>
        <w:rPr>
          <w:rFonts w:ascii="Tele-GroteskEEHal" w:hAnsi="Tele-GroteskEEHal"/>
          <w:sz w:val="22"/>
          <w:szCs w:val="22"/>
          <w:lang w:val="hr-HR"/>
        </w:rPr>
      </w:pPr>
    </w:p>
    <w:p w:rsidR="003E4626" w:rsidRPr="00960D6B" w:rsidRDefault="003E4626" w:rsidP="00247581">
      <w:pPr>
        <w:jc w:val="both"/>
        <w:rPr>
          <w:rFonts w:ascii="Tele-GroteskEEHal" w:hAnsi="Tele-GroteskEEHal"/>
          <w:sz w:val="22"/>
          <w:szCs w:val="22"/>
          <w:lang w:val="hr-HR"/>
        </w:rPr>
      </w:pPr>
      <w:r w:rsidRPr="00960D6B">
        <w:rPr>
          <w:rFonts w:ascii="Tele-GroteskEEHal" w:hAnsi="Tele-GroteskEEHal"/>
          <w:sz w:val="22"/>
          <w:szCs w:val="22"/>
          <w:lang w:val="hr-HR"/>
        </w:rPr>
        <w:t xml:space="preserve">T-HT je zadržao vodeći položaj na zasićenom tržištu koje od 2005. godine opslužuju tri operatora. Sva tri operatora nude nove tarifne pakete koji obuhvaćaju kombinacije govornih usluga, poruka i podatkovnih usluga za privatne i poslovne korisnike te nove ponude kao što su e-knjige. Prema Državnom zavodu za statistiku, ukupni broj minuta ostvarenih (MOU) u pokretnoj mreži u Hrvatskoj povećao se za 4,0% u prvoj polovini 2011. Intenzivirala se promocija usluge Mobile Internet budući da sva tri operatora pokretne mreže promoviraju nove ponude širokopojasnih usluga u pokretnoj mreži s atraktivnim pametnim telefonima i tabletima. </w:t>
      </w:r>
    </w:p>
    <w:p w:rsidR="003E4626" w:rsidRPr="00960D6B" w:rsidRDefault="003E4626" w:rsidP="00F353DD">
      <w:pPr>
        <w:jc w:val="both"/>
        <w:rPr>
          <w:rFonts w:ascii="Tele-GroteskEEHal" w:hAnsi="Tele-GroteskEEHal"/>
          <w:sz w:val="22"/>
          <w:szCs w:val="22"/>
          <w:lang w:val="hr-HR"/>
        </w:rPr>
      </w:pPr>
    </w:p>
    <w:p w:rsidR="003E4626" w:rsidRPr="00960D6B" w:rsidRDefault="003E4626" w:rsidP="00247581">
      <w:pPr>
        <w:jc w:val="both"/>
        <w:rPr>
          <w:rFonts w:ascii="Tele-GroteskEEHal" w:hAnsi="Tele-GroteskEEHal"/>
          <w:sz w:val="22"/>
          <w:szCs w:val="22"/>
          <w:lang w:val="hr-HR"/>
        </w:rPr>
      </w:pPr>
      <w:r w:rsidRPr="00960D6B">
        <w:rPr>
          <w:rFonts w:ascii="Tele-GroteskEEHal" w:hAnsi="Tele-GroteskEEHal"/>
          <w:sz w:val="22"/>
          <w:szCs w:val="22"/>
          <w:lang w:val="hr-HR"/>
        </w:rPr>
        <w:t>Nepokretna telefonija i dalje je konkurentna u Hrvatskoj s deset aktivnih operatora, a nedavna VIPnetova akvizicija B.neta vjerojatno će povećati tržišno natjecanje u području integriranih telekomunikacijskih proizvoda.</w:t>
      </w:r>
    </w:p>
    <w:p w:rsidR="003E4626" w:rsidRPr="00960D6B" w:rsidRDefault="003E4626" w:rsidP="00F353DD">
      <w:pPr>
        <w:jc w:val="both"/>
        <w:rPr>
          <w:rFonts w:ascii="Tele-GroteskEEHal" w:hAnsi="Tele-GroteskEEHal"/>
          <w:sz w:val="22"/>
          <w:szCs w:val="22"/>
          <w:lang w:val="hr-HR"/>
        </w:rPr>
      </w:pPr>
    </w:p>
    <w:p w:rsidR="003E4626" w:rsidRPr="00960D6B" w:rsidRDefault="003E4626" w:rsidP="00247581">
      <w:pPr>
        <w:jc w:val="both"/>
        <w:rPr>
          <w:rFonts w:ascii="Tele-GroteskEEHal" w:hAnsi="Tele-GroteskEEHal"/>
          <w:sz w:val="22"/>
          <w:szCs w:val="22"/>
          <w:lang w:val="hr-HR"/>
        </w:rPr>
      </w:pPr>
      <w:r w:rsidRPr="00960D6B">
        <w:rPr>
          <w:rFonts w:ascii="Tele-GroteskEEHal" w:hAnsi="Tele-GroteskEEHal"/>
          <w:sz w:val="22"/>
          <w:szCs w:val="22"/>
          <w:lang w:val="hr-HR"/>
        </w:rPr>
        <w:t xml:space="preserve">T-HT je uspješno zadržao vodeći položaj na tržištu u svim segmentima. Ovakav uspjeh odraz je stalne predanosti Grupe uslugama visoke kvalitete i unaprjeđenju marketinga ponudama prilagođenim potrebama specifičnih korisničkih segmenata.   </w:t>
      </w:r>
    </w:p>
    <w:p w:rsidR="003E4626" w:rsidRPr="00960D6B" w:rsidRDefault="003E4626" w:rsidP="00247581">
      <w:pPr>
        <w:jc w:val="both"/>
        <w:rPr>
          <w:rFonts w:ascii="Tele-GroteskEEHal" w:hAnsi="Tele-GroteskEEHal"/>
          <w:sz w:val="22"/>
          <w:szCs w:val="22"/>
          <w:lang w:val="hr-HR"/>
        </w:rPr>
      </w:pPr>
    </w:p>
    <w:p w:rsidR="003E4626" w:rsidRPr="00960D6B" w:rsidRDefault="003E4626" w:rsidP="00247581">
      <w:pPr>
        <w:jc w:val="both"/>
        <w:rPr>
          <w:rFonts w:ascii="Tele-GroteskEEHal" w:hAnsi="Tele-GroteskEEHal"/>
          <w:sz w:val="22"/>
          <w:szCs w:val="22"/>
          <w:lang w:val="hr-HR"/>
        </w:rPr>
      </w:pPr>
      <w:r w:rsidRPr="00960D6B">
        <w:rPr>
          <w:rFonts w:ascii="Tele-GroteskEEHal" w:hAnsi="Tele-GroteskEEHal"/>
          <w:sz w:val="22"/>
          <w:szCs w:val="22"/>
          <w:lang w:val="hr-HR"/>
        </w:rPr>
        <w:t>Prema Državnom zavodu za statistiku, broj minuta ostvarenih (MOU) u nepokretnoj mreži smanjio se za 9,4% u prvoj polovini 2011. Stopa penetracije nepokretne telefonije ostala je stabilna i iznosila je 42% stanovništva prema Nacionalnoj regulatornoj agenciji.</w:t>
      </w:r>
    </w:p>
    <w:p w:rsidR="003E4626" w:rsidRPr="00960D6B" w:rsidRDefault="003E4626" w:rsidP="00247581">
      <w:pPr>
        <w:jc w:val="both"/>
        <w:rPr>
          <w:rFonts w:ascii="Tele-GroteskEEHal" w:hAnsi="Tele-GroteskEEHal"/>
          <w:sz w:val="22"/>
          <w:szCs w:val="22"/>
          <w:lang w:val="hr-HR"/>
        </w:rPr>
      </w:pPr>
    </w:p>
    <w:p w:rsidR="003E4626" w:rsidRPr="00960D6B" w:rsidRDefault="003E4626" w:rsidP="00247581">
      <w:pPr>
        <w:jc w:val="both"/>
        <w:rPr>
          <w:rFonts w:ascii="Tele-GroteskEEHal" w:hAnsi="Tele-GroteskEEHal"/>
          <w:sz w:val="22"/>
          <w:szCs w:val="22"/>
          <w:lang w:val="hr-HR"/>
        </w:rPr>
      </w:pPr>
      <w:r w:rsidRPr="00960D6B">
        <w:rPr>
          <w:rFonts w:ascii="Tele-GroteskEEHal" w:hAnsi="Tele-GroteskEEHal"/>
          <w:sz w:val="22"/>
          <w:szCs w:val="22"/>
          <w:lang w:val="hr-HR"/>
        </w:rPr>
        <w:t xml:space="preserve">Grupa T-HT ostala je najveći davatelj širokopojasnih usluga u Hrvatskoj i nastavila je s daljnjim razvojem ponude MAXadsl-a velike brzine te njegovim proširenjem kroz vrhunske usluge kao što je MAXtv – TV usluga Grupe. Tijekom prvih devet mjeseci 2011. novi je igrač ušao na hrvatsko tržište plaćene televizije, ali T-HT je nastavio obogaćivati svoju TV ponudu dodavanjem novih televizijskih programa i </w:t>
      </w:r>
      <w:r w:rsidRPr="00074E6A">
        <w:rPr>
          <w:rFonts w:ascii="Tele-GroteskEEHal" w:hAnsi="Tele-GroteskEEHal"/>
          <w:sz w:val="22"/>
          <w:szCs w:val="22"/>
          <w:lang w:val="hr-HR"/>
        </w:rPr>
        <w:t>funkcionalnosti društvenih medija. Hrvatsko tržište širokopojasnih usluga i dalje za T-HT predstavlja priliku za rast s približno 45% hrvatskih kućanstava spojenih putem širokopojasnog priključka u nepokretnoj mreži u odnosu na prosjek od približno 62% u Zapadnoj Europi.</w:t>
      </w:r>
    </w:p>
    <w:p w:rsidR="003E4626" w:rsidRDefault="003E4626" w:rsidP="008A5FFC">
      <w:pPr>
        <w:jc w:val="both"/>
        <w:rPr>
          <w:rFonts w:ascii="Tele-GroteskEEHal" w:hAnsi="Tele-GroteskEEHal" w:cs="Tahoma"/>
          <w:sz w:val="22"/>
          <w:szCs w:val="22"/>
          <w:lang w:val="hr-HR"/>
        </w:rPr>
      </w:pPr>
    </w:p>
    <w:p w:rsidR="003E4626" w:rsidRPr="00960D6B" w:rsidRDefault="003E4626" w:rsidP="008A5FFC">
      <w:pPr>
        <w:jc w:val="both"/>
        <w:rPr>
          <w:rFonts w:ascii="Tele-GroteskEEHal" w:hAnsi="Tele-GroteskEEHal" w:cs="Tahoma"/>
          <w:sz w:val="22"/>
          <w:szCs w:val="22"/>
          <w:lang w:val="hr-HR"/>
        </w:rPr>
      </w:pPr>
    </w:p>
    <w:p w:rsidR="003E4626" w:rsidRPr="00960D6B" w:rsidRDefault="003E4626" w:rsidP="00D5190C">
      <w:pPr>
        <w:jc w:val="both"/>
        <w:rPr>
          <w:rFonts w:ascii="Tele-GroteskEEHal" w:hAnsi="Tele-GroteskEEHal" w:cs="Tahoma"/>
          <w:b/>
          <w:sz w:val="22"/>
          <w:szCs w:val="22"/>
          <w:lang w:val="hr-HR"/>
        </w:rPr>
      </w:pPr>
      <w:r w:rsidRPr="00960D6B">
        <w:rPr>
          <w:rFonts w:ascii="Tele-GroteskEEHal" w:hAnsi="Tele-GroteskEEHal" w:cs="Tahoma"/>
          <w:b/>
          <w:sz w:val="22"/>
          <w:szCs w:val="22"/>
          <w:lang w:val="hr-HR"/>
        </w:rPr>
        <w:t>Gospodarsko okruženje</w:t>
      </w:r>
    </w:p>
    <w:p w:rsidR="003E4626" w:rsidRPr="00992713" w:rsidRDefault="003E4626" w:rsidP="00D5190C">
      <w:pPr>
        <w:spacing w:before="100" w:beforeAutospacing="1" w:after="100" w:afterAutospacing="1"/>
        <w:ind w:right="57"/>
        <w:jc w:val="both"/>
        <w:rPr>
          <w:rFonts w:ascii="Tele-GroteskEEHal" w:hAnsi="Tele-GroteskEEHal"/>
          <w:sz w:val="22"/>
          <w:szCs w:val="22"/>
          <w:lang w:val="hr-HR"/>
        </w:rPr>
      </w:pPr>
      <w:r w:rsidRPr="00960D6B">
        <w:rPr>
          <w:rFonts w:ascii="Tele-GroteskEEHal" w:hAnsi="Tele-GroteskEEHal"/>
          <w:sz w:val="22"/>
          <w:szCs w:val="22"/>
          <w:lang w:val="hr-HR"/>
        </w:rPr>
        <w:t xml:space="preserve">Nakon devet uzastopnih tromjesečja pada hrvatski je BDP vrlo umjereno porastao za 0,8% u drugom tromjesečju 2011. kao posljedica izvoza i potrošnje. Međutim, istovremeno se nastavilo smanjenje ulaganja. Prema revidiranim predviđanjima, rast hrvatskog BDP-a bit će manji i iznosit će između 0,5% </w:t>
      </w:r>
      <w:r w:rsidRPr="00992713">
        <w:rPr>
          <w:rFonts w:ascii="Tele-GroteskEEHal" w:hAnsi="Tele-GroteskEEHal"/>
          <w:sz w:val="22"/>
          <w:szCs w:val="22"/>
          <w:lang w:val="hr-HR"/>
        </w:rPr>
        <w:t>i 0,8% na kraju 2011. godine.</w:t>
      </w:r>
    </w:p>
    <w:p w:rsidR="003E4626" w:rsidRPr="00992713" w:rsidRDefault="003E4626" w:rsidP="00D5190C">
      <w:pPr>
        <w:spacing w:before="100" w:beforeAutospacing="1" w:after="100" w:afterAutospacing="1"/>
        <w:jc w:val="both"/>
        <w:rPr>
          <w:rFonts w:ascii="Tele-GroteskEEHal" w:hAnsi="Tele-GroteskEEHal"/>
          <w:sz w:val="22"/>
          <w:szCs w:val="22"/>
          <w:lang w:val="hr-HR"/>
        </w:rPr>
      </w:pPr>
      <w:r w:rsidRPr="00992713">
        <w:rPr>
          <w:rFonts w:ascii="Tele-GroteskEEHal" w:hAnsi="Tele-GroteskEEHal"/>
          <w:sz w:val="22"/>
          <w:szCs w:val="22"/>
          <w:lang w:val="hr-HR"/>
        </w:rPr>
        <w:t>Prema Državnom zavodu za statistiku, zabilježena stopa nezaposlenosti bila je i dalje visoka u rujnu 2011. i iznosila je 16,8% (rujan 2010.: 16,9%). Nema naznaka stvarnog oporavka jer korporativni sektor još uvijek ne pokreće nove projekte koji bi potaknuli zapošljavanje.</w:t>
      </w:r>
    </w:p>
    <w:p w:rsidR="003E4626" w:rsidRPr="00992713" w:rsidRDefault="003E4626" w:rsidP="00992713">
      <w:pPr>
        <w:rPr>
          <w:rFonts w:ascii="Tele-GroteskEEHal" w:hAnsi="Tele-GroteskEEHal"/>
          <w:sz w:val="22"/>
          <w:szCs w:val="22"/>
          <w:lang w:val="hr-HR"/>
        </w:rPr>
      </w:pPr>
      <w:r w:rsidRPr="00992713">
        <w:rPr>
          <w:rFonts w:ascii="Tele-GroteskEEHal" w:hAnsi="Tele-GroteskEEHal"/>
          <w:sz w:val="22"/>
          <w:szCs w:val="22"/>
          <w:lang w:val="hr-HR"/>
        </w:rPr>
        <w:t>Prosječna mjesečna neto primanja za prvih sedam mjeseci 2011. iznosila su 5.393 kune, što predstavlja smanjenje od 0,3% u odnosu na prošlu godinu.</w:t>
      </w:r>
    </w:p>
    <w:p w:rsidR="003E4626" w:rsidRPr="00992713" w:rsidRDefault="003E4626" w:rsidP="00992713">
      <w:pPr>
        <w:rPr>
          <w:rFonts w:ascii="Tele-GroteskEEHal" w:hAnsi="Tele-GroteskEEHal"/>
          <w:sz w:val="22"/>
          <w:szCs w:val="22"/>
          <w:lang w:val="hr-HR"/>
        </w:rPr>
      </w:pPr>
    </w:p>
    <w:p w:rsidR="003E4626" w:rsidRPr="00992713" w:rsidRDefault="003E4626" w:rsidP="00992713">
      <w:pPr>
        <w:rPr>
          <w:rFonts w:ascii="Tele-GroteskEEHal" w:hAnsi="Tele-GroteskEEHal"/>
          <w:sz w:val="22"/>
          <w:szCs w:val="22"/>
          <w:lang w:val="hr-HR"/>
        </w:rPr>
      </w:pPr>
    </w:p>
    <w:p w:rsidR="003E4626" w:rsidRPr="00992713" w:rsidRDefault="003E4626" w:rsidP="00992713">
      <w:pPr>
        <w:rPr>
          <w:rFonts w:ascii="Tele-GroteskEEHal" w:hAnsi="Tele-GroteskEEHal"/>
          <w:b/>
          <w:sz w:val="22"/>
          <w:szCs w:val="22"/>
          <w:lang w:val="hr-HR"/>
        </w:rPr>
      </w:pPr>
      <w:r w:rsidRPr="00992713">
        <w:rPr>
          <w:rFonts w:ascii="Tele-GroteskEEHal" w:hAnsi="Tele-GroteskEEHal"/>
          <w:b/>
          <w:sz w:val="22"/>
          <w:szCs w:val="22"/>
          <w:lang w:val="hr-HR"/>
        </w:rPr>
        <w:t>Privatizacija Pošte i telekomunikacija Kosova d.d. (PTK)</w:t>
      </w:r>
    </w:p>
    <w:p w:rsidR="003E4626" w:rsidRPr="00992713" w:rsidRDefault="003E4626" w:rsidP="00992713">
      <w:pPr>
        <w:rPr>
          <w:rFonts w:ascii="Tele-GroteskEEHal" w:hAnsi="Tele-GroteskEEHal"/>
          <w:sz w:val="22"/>
          <w:szCs w:val="22"/>
          <w:lang w:val="hr-HR"/>
        </w:rPr>
      </w:pPr>
      <w:r w:rsidRPr="00992713">
        <w:rPr>
          <w:rFonts w:ascii="Tele-GroteskEEHal" w:hAnsi="Tele-GroteskEEHal"/>
          <w:sz w:val="22"/>
          <w:szCs w:val="22"/>
          <w:lang w:val="hr-HR"/>
        </w:rPr>
        <w:t> </w:t>
      </w:r>
    </w:p>
    <w:p w:rsidR="003E4626" w:rsidRPr="00992713" w:rsidRDefault="003E4626" w:rsidP="00992713">
      <w:pPr>
        <w:rPr>
          <w:rFonts w:ascii="Tele-GroteskEEHal" w:hAnsi="Tele-GroteskEEHal"/>
          <w:sz w:val="22"/>
          <w:szCs w:val="22"/>
          <w:lang w:val="hr-HR" w:eastAsia="hr-HR"/>
        </w:rPr>
      </w:pPr>
      <w:r w:rsidRPr="00992713">
        <w:rPr>
          <w:rFonts w:ascii="Tele-GroteskEEHal" w:hAnsi="Tele-GroteskEEHal"/>
          <w:sz w:val="22"/>
          <w:szCs w:val="22"/>
          <w:lang w:val="hr-HR"/>
        </w:rPr>
        <w:t>Kao što je objavljeno početkom lipnja 2011., T-HT je ispuno uvjete za pretkvalifikaciju vezano uz</w:t>
      </w:r>
      <w:r w:rsidRPr="00992713">
        <w:rPr>
          <w:rFonts w:ascii="Tele-GroteskEEHal" w:hAnsi="Tele-GroteskEEHal"/>
          <w:sz w:val="22"/>
          <w:szCs w:val="22"/>
          <w:lang w:val="hr-HR" w:eastAsia="hr-HR"/>
        </w:rPr>
        <w:t xml:space="preserve"> privatizaciju Pošte i telekomunikacija Kosova d.d. (PTK) i potvrđen je kao jedan od pretkvalificiranih kandidata.</w:t>
      </w:r>
    </w:p>
    <w:p w:rsidR="003E4626" w:rsidRPr="00992713" w:rsidRDefault="003E4626" w:rsidP="001F60FC">
      <w:pPr>
        <w:jc w:val="both"/>
        <w:rPr>
          <w:rFonts w:ascii="Tele-GroteskEEHal" w:hAnsi="Tele-GroteskEEHal"/>
          <w:sz w:val="22"/>
          <w:szCs w:val="22"/>
          <w:lang w:val="hr-HR" w:eastAsia="hr-HR"/>
        </w:rPr>
      </w:pPr>
    </w:p>
    <w:p w:rsidR="003E4626" w:rsidRPr="00992713" w:rsidRDefault="003E4626" w:rsidP="001F60FC">
      <w:pPr>
        <w:jc w:val="both"/>
        <w:rPr>
          <w:rFonts w:ascii="Tele-GroteskEEHal" w:hAnsi="Tele-GroteskEEHal" w:cs="Tele-GroteskEE-Halb"/>
          <w:sz w:val="22"/>
          <w:szCs w:val="22"/>
          <w:lang w:val="hr-HR"/>
        </w:rPr>
      </w:pPr>
      <w:r w:rsidRPr="00992713">
        <w:rPr>
          <w:rFonts w:ascii="Tele-GroteskEEHal" w:hAnsi="Tele-GroteskEEHal"/>
          <w:sz w:val="22"/>
          <w:szCs w:val="22"/>
          <w:lang w:val="hr-HR" w:eastAsia="hr-HR"/>
        </w:rPr>
        <w:t>Međutim, u svjetlu tužbi nedavno podignutih protiv određenih rukovoditelja PTK koji su osumnjičeni za korupciju, T-HT je razmatrao svoje daljnje sudjelovanje u procesu privatizacije</w:t>
      </w:r>
      <w:r w:rsidRPr="00992713">
        <w:rPr>
          <w:rFonts w:ascii="Tele-GroteskEEHal" w:hAnsi="Tele-GroteskEEHal" w:cs="Tele-GroteskEE-Halb"/>
          <w:sz w:val="22"/>
          <w:szCs w:val="22"/>
          <w:lang w:val="hr-HR"/>
        </w:rPr>
        <w:t xml:space="preserve">. </w:t>
      </w:r>
    </w:p>
    <w:p w:rsidR="003E4626" w:rsidRPr="00992713" w:rsidRDefault="003E4626" w:rsidP="001F60FC">
      <w:pPr>
        <w:jc w:val="both"/>
        <w:rPr>
          <w:rFonts w:ascii="Tele-GroteskEEHal" w:hAnsi="Tele-GroteskEEHal" w:cs="Tele-GroteskEE-Halb"/>
          <w:sz w:val="22"/>
          <w:szCs w:val="22"/>
          <w:lang w:val="hr-HR"/>
        </w:rPr>
      </w:pPr>
    </w:p>
    <w:p w:rsidR="003E4626" w:rsidRPr="00960D6B" w:rsidRDefault="003E4626" w:rsidP="001F60FC">
      <w:pPr>
        <w:jc w:val="both"/>
        <w:rPr>
          <w:rFonts w:ascii="Tele-GroteskEEHal" w:hAnsi="Tele-GroteskEEHal" w:cs="Tele-GroteskEE-Halb"/>
          <w:sz w:val="22"/>
          <w:szCs w:val="22"/>
          <w:lang w:val="hr-HR"/>
        </w:rPr>
      </w:pPr>
      <w:r w:rsidRPr="00960D6B">
        <w:rPr>
          <w:rFonts w:ascii="Tele-GroteskEEHal" w:hAnsi="Tele-GroteskEEHal" w:cs="Tele-GroteskEE-Halb"/>
          <w:sz w:val="22"/>
          <w:szCs w:val="22"/>
          <w:lang w:val="hr-HR"/>
        </w:rPr>
        <w:t>Prema medijskim izvješćima, Vlada Republike Kosovo nedavno je obustavila natječajni postupak i pravovremeno će najaviti novi. Međutim, T-HT nije primio nikakvu službenu obavijest o tomu.</w:t>
      </w:r>
    </w:p>
    <w:p w:rsidR="003E4626" w:rsidRPr="00960D6B" w:rsidRDefault="003E4626" w:rsidP="00036921">
      <w:pPr>
        <w:rPr>
          <w:rFonts w:ascii="Tele-GroteskEEHal" w:hAnsi="Tele-GroteskEEHal"/>
          <w:sz w:val="22"/>
          <w:szCs w:val="22"/>
          <w:lang w:val="hr-HR"/>
        </w:rPr>
      </w:pPr>
    </w:p>
    <w:p w:rsidR="003E4626" w:rsidRDefault="003E4626" w:rsidP="008600E5">
      <w:pPr>
        <w:rPr>
          <w:rFonts w:ascii="Tele-GroteskEEHal" w:hAnsi="Tele-GroteskEEHal"/>
          <w:b/>
          <w:sz w:val="22"/>
          <w:szCs w:val="22"/>
          <w:lang w:val="hr-HR" w:eastAsia="hr-HR"/>
        </w:rPr>
      </w:pPr>
    </w:p>
    <w:p w:rsidR="003E4626" w:rsidRDefault="003E4626" w:rsidP="008600E5">
      <w:pPr>
        <w:rPr>
          <w:rFonts w:ascii="Tele-GroteskEEHal" w:hAnsi="Tele-GroteskEEHal"/>
          <w:b/>
          <w:sz w:val="22"/>
          <w:szCs w:val="22"/>
          <w:lang w:val="hr-HR" w:eastAsia="hr-HR"/>
        </w:rPr>
      </w:pPr>
    </w:p>
    <w:p w:rsidR="003E4626" w:rsidRPr="00960D6B" w:rsidRDefault="003E4626" w:rsidP="008600E5">
      <w:pPr>
        <w:rPr>
          <w:rFonts w:ascii="Tele-GroteskEEHal" w:hAnsi="Tele-GroteskEEHal"/>
          <w:b/>
          <w:sz w:val="22"/>
          <w:szCs w:val="22"/>
          <w:lang w:val="hr-HR" w:eastAsia="hr-HR"/>
        </w:rPr>
      </w:pPr>
      <w:r w:rsidRPr="00960D6B">
        <w:rPr>
          <w:rFonts w:ascii="Tele-GroteskEEHal" w:hAnsi="Tele-GroteskEEHal"/>
          <w:b/>
          <w:sz w:val="22"/>
          <w:szCs w:val="22"/>
          <w:lang w:val="hr-HR" w:eastAsia="hr-HR"/>
        </w:rPr>
        <w:t xml:space="preserve">Novosti vezane uz porez od </w:t>
      </w:r>
      <w:r w:rsidRPr="00960D6B">
        <w:rPr>
          <w:rFonts w:ascii="Tele-GroteskEEHal" w:hAnsi="Tele-GroteskEEHal" w:cs="Tahoma"/>
          <w:b/>
          <w:sz w:val="22"/>
          <w:szCs w:val="22"/>
          <w:lang w:val="hr-HR" w:eastAsia="hr-HR"/>
        </w:rPr>
        <w:t>6% na usluge u pokretnim mrežama</w:t>
      </w:r>
    </w:p>
    <w:p w:rsidR="003E4626" w:rsidRPr="00960D6B" w:rsidRDefault="003E4626" w:rsidP="008600E5">
      <w:pPr>
        <w:rPr>
          <w:rFonts w:ascii="Tele-GroteskEEHal" w:hAnsi="Tele-GroteskEEHal"/>
          <w:sz w:val="22"/>
          <w:szCs w:val="22"/>
          <w:lang w:val="hr-HR" w:eastAsia="hr-HR"/>
        </w:rPr>
      </w:pPr>
    </w:p>
    <w:p w:rsidR="003E4626" w:rsidRPr="00960D6B" w:rsidRDefault="003E4626" w:rsidP="00043857">
      <w:pPr>
        <w:jc w:val="both"/>
        <w:rPr>
          <w:rFonts w:ascii="Tele-GroteskEEHal" w:hAnsi="Tele-GroteskEEHal" w:cs="Tahoma"/>
          <w:sz w:val="22"/>
          <w:szCs w:val="22"/>
          <w:lang w:val="hr-HR" w:eastAsia="hr-HR"/>
        </w:rPr>
      </w:pPr>
      <w:r w:rsidRPr="00960D6B">
        <w:rPr>
          <w:rFonts w:ascii="Tele-GroteskEEHal" w:hAnsi="Tele-GroteskEEHal" w:cs="Tahoma"/>
          <w:sz w:val="22"/>
          <w:szCs w:val="22"/>
          <w:lang w:val="hr-HR" w:eastAsia="hr-HR"/>
        </w:rPr>
        <w:t>Grupa je 14. listopada 2011. objavila novosti u vezi sa stanjem naknade od 6% na usluge u pokretnim mrežama koja je određena temeljem Zakona o naknadi za pružanje usluga u pokretnim elektroničkim komunikacijskim mrežama i uvedena 1. kolovoza 2009.</w:t>
      </w:r>
    </w:p>
    <w:p w:rsidR="003E4626" w:rsidRPr="00960D6B" w:rsidRDefault="003E4626" w:rsidP="00043857">
      <w:pPr>
        <w:jc w:val="both"/>
        <w:rPr>
          <w:rFonts w:ascii="Tele-GroteskEEHal" w:hAnsi="Tele-GroteskEEHal" w:cs="Tahoma"/>
          <w:sz w:val="22"/>
          <w:szCs w:val="22"/>
          <w:lang w:val="hr-HR" w:eastAsia="hr-HR"/>
        </w:rPr>
      </w:pPr>
    </w:p>
    <w:p w:rsidR="003E4626" w:rsidRPr="00960D6B" w:rsidRDefault="003E4626" w:rsidP="00043857">
      <w:pPr>
        <w:jc w:val="both"/>
        <w:rPr>
          <w:rFonts w:ascii="Tele-GroteskEEHal" w:hAnsi="Tele-GroteskEEHal" w:cs="Tahoma"/>
          <w:sz w:val="22"/>
          <w:szCs w:val="22"/>
          <w:lang w:val="hr-HR" w:eastAsia="hr-HR"/>
        </w:rPr>
      </w:pPr>
      <w:r w:rsidRPr="00960D6B">
        <w:rPr>
          <w:rFonts w:ascii="Tele-GroteskEEHal" w:hAnsi="Tele-GroteskEEHal" w:cs="Tahoma"/>
          <w:sz w:val="22"/>
          <w:szCs w:val="22"/>
          <w:lang w:val="hr-HR" w:eastAsia="hr-HR"/>
        </w:rPr>
        <w:t>Objava novosti uslijedila je nakon prijedloga Vlade RH od 13. listopada 2011. da se ukine navedena naknada s učinkom od 1. siječnja 2012.</w:t>
      </w:r>
    </w:p>
    <w:p w:rsidR="003E4626" w:rsidRPr="00960D6B" w:rsidRDefault="003E4626" w:rsidP="00043857">
      <w:pPr>
        <w:jc w:val="both"/>
        <w:rPr>
          <w:rFonts w:ascii="Tele-GroteskEEHal" w:hAnsi="Tele-GroteskEEHal" w:cs="Tahoma"/>
          <w:sz w:val="22"/>
          <w:szCs w:val="22"/>
          <w:lang w:val="hr-HR" w:eastAsia="hr-HR"/>
        </w:rPr>
      </w:pPr>
    </w:p>
    <w:p w:rsidR="003E4626" w:rsidRPr="00960D6B" w:rsidRDefault="003E4626" w:rsidP="00043857">
      <w:pPr>
        <w:jc w:val="both"/>
        <w:rPr>
          <w:rFonts w:ascii="Tele-GroteskEEHal" w:hAnsi="Tele-GroteskEEHal" w:cs="Tahoma"/>
          <w:sz w:val="22"/>
          <w:szCs w:val="22"/>
          <w:lang w:val="hr-HR" w:eastAsia="hr-HR"/>
        </w:rPr>
      </w:pPr>
      <w:r w:rsidRPr="00960D6B">
        <w:rPr>
          <w:rFonts w:ascii="Tele-GroteskEEHal" w:hAnsi="Tele-GroteskEEHal" w:cs="Tahoma"/>
          <w:sz w:val="22"/>
          <w:szCs w:val="22"/>
          <w:lang w:val="hr-HR" w:eastAsia="hr-HR"/>
        </w:rPr>
        <w:t>Vlada predlaže ukidanje naknade temeljem Zakona o prestanku važenja Zakona o naknadi za pružanje usluga u pokretnim elektroničkim komunikacijskim mrežama koji će ići pred Hrvatski sabor. U ovom trenutku još nije sasvim jasno hoće li Sabor odobriti prijedlog.</w:t>
      </w:r>
    </w:p>
    <w:p w:rsidR="003E4626" w:rsidRPr="00960D6B" w:rsidRDefault="003E4626" w:rsidP="00043857">
      <w:pPr>
        <w:jc w:val="both"/>
        <w:rPr>
          <w:rFonts w:ascii="Tele-GroteskEEHal" w:hAnsi="Tele-GroteskEEHal" w:cs="Tahoma"/>
          <w:sz w:val="22"/>
          <w:szCs w:val="22"/>
          <w:lang w:val="hr-HR"/>
        </w:rPr>
      </w:pPr>
    </w:p>
    <w:p w:rsidR="003E4626" w:rsidRDefault="003E4626" w:rsidP="00043857">
      <w:pPr>
        <w:jc w:val="both"/>
        <w:rPr>
          <w:rFonts w:ascii="Tele-GroteskEEHal" w:hAnsi="Tele-GroteskEEHal" w:cs="Tahoma"/>
          <w:sz w:val="22"/>
          <w:szCs w:val="22"/>
          <w:lang w:val="hr-HR"/>
        </w:rPr>
      </w:pPr>
      <w:r w:rsidRPr="00960D6B">
        <w:rPr>
          <w:rFonts w:ascii="Tele-GroteskEEHal" w:hAnsi="Tele-GroteskEEHal" w:cs="Tahoma"/>
          <w:sz w:val="22"/>
          <w:szCs w:val="22"/>
          <w:lang w:val="hr-HR"/>
        </w:rPr>
        <w:t>Učinak poreza od 6% u devet mjeseci do 30. rujna 2011. iznosio je 113 milijuna kuna (siječanj-rujan 2010.: 124 milijuna kuna).</w:t>
      </w:r>
    </w:p>
    <w:p w:rsidR="003E4626" w:rsidRPr="00960D6B" w:rsidRDefault="003E4626" w:rsidP="00043857">
      <w:pPr>
        <w:jc w:val="both"/>
        <w:rPr>
          <w:rFonts w:ascii="Tele-GroteskEEHal" w:hAnsi="Tele-GroteskEEHal" w:cs="Tahoma"/>
          <w:sz w:val="22"/>
          <w:szCs w:val="22"/>
          <w:lang w:val="hr-HR"/>
        </w:rPr>
      </w:pPr>
    </w:p>
    <w:p w:rsidR="003E4626" w:rsidRPr="00960D6B" w:rsidRDefault="003E4626" w:rsidP="003C2197">
      <w:pPr>
        <w:suppressAutoHyphens w:val="0"/>
        <w:rPr>
          <w:rFonts w:ascii="Tele-GroteskEEHal" w:hAnsi="Tele-GroteskEEHal" w:cs="Arial"/>
          <w:b/>
          <w:bCs/>
          <w:kern w:val="0"/>
          <w:sz w:val="22"/>
          <w:szCs w:val="22"/>
          <w:lang w:val="hr-HR" w:eastAsia="hr-HR"/>
        </w:rPr>
      </w:pPr>
    </w:p>
    <w:p w:rsidR="003E4626" w:rsidRPr="00960D6B" w:rsidRDefault="003E4626" w:rsidP="003C2197">
      <w:pPr>
        <w:suppressAutoHyphens w:val="0"/>
        <w:rPr>
          <w:rFonts w:ascii="Tele-GroteskEEHal" w:hAnsi="Tele-GroteskEEHal" w:cs="Arial"/>
          <w:b/>
          <w:bCs/>
          <w:kern w:val="0"/>
          <w:sz w:val="22"/>
          <w:szCs w:val="22"/>
          <w:lang w:val="hr-HR" w:eastAsia="hr-HR"/>
        </w:rPr>
      </w:pPr>
      <w:r w:rsidRPr="00960D6B">
        <w:rPr>
          <w:rFonts w:ascii="Tele-GroteskEEHal" w:hAnsi="Tele-GroteskEEHal" w:cs="Arial"/>
          <w:b/>
          <w:bCs/>
          <w:kern w:val="0"/>
          <w:sz w:val="22"/>
          <w:szCs w:val="22"/>
          <w:lang w:val="hr-HR" w:eastAsia="hr-HR"/>
        </w:rPr>
        <w:t>Regulatorno okruženje</w:t>
      </w:r>
    </w:p>
    <w:p w:rsidR="003E4626" w:rsidRPr="00960D6B" w:rsidRDefault="003E4626" w:rsidP="008E7FAF">
      <w:pPr>
        <w:jc w:val="both"/>
        <w:rPr>
          <w:rFonts w:ascii="Tele-GroteskEEHal" w:hAnsi="Tele-GroteskEEHal" w:cs="Tahoma"/>
          <w:sz w:val="22"/>
          <w:szCs w:val="22"/>
          <w:lang w:val="hr-HR"/>
        </w:rPr>
      </w:pPr>
    </w:p>
    <w:p w:rsidR="003E4626" w:rsidRPr="00960D6B" w:rsidRDefault="003E4626" w:rsidP="00197690">
      <w:pPr>
        <w:jc w:val="both"/>
        <w:rPr>
          <w:rFonts w:ascii="Tele-GroteskEEHal" w:hAnsi="Tele-GroteskEEHal"/>
          <w:sz w:val="22"/>
          <w:szCs w:val="22"/>
          <w:lang w:val="hr-HR"/>
        </w:rPr>
      </w:pPr>
      <w:r w:rsidRPr="00960D6B">
        <w:rPr>
          <w:rFonts w:ascii="Tele-GroteskEEHal" w:hAnsi="Tele-GroteskEEHal"/>
          <w:sz w:val="22"/>
          <w:szCs w:val="22"/>
          <w:lang w:val="hr-HR"/>
        </w:rPr>
        <w:t>Zakon o elektroničkim komunikacijama, kojim je zamijenjen prijašnji Zakon o telekomunikacijama, na snazi je od 1. srpnja 2008. i njime je prenesen Regulatorni okvir EU-a iz 2002. na hrvatsko elektroničko komunikacijsko tržište.</w:t>
      </w:r>
    </w:p>
    <w:p w:rsidR="003E4626" w:rsidRPr="00960D6B" w:rsidRDefault="003E4626" w:rsidP="00197690">
      <w:pPr>
        <w:jc w:val="both"/>
        <w:rPr>
          <w:rFonts w:ascii="Tele-GroteskEEHal" w:hAnsi="Tele-GroteskEEHal"/>
          <w:sz w:val="22"/>
          <w:szCs w:val="22"/>
          <w:lang w:val="hr-HR"/>
        </w:rPr>
      </w:pPr>
    </w:p>
    <w:p w:rsidR="003E4626" w:rsidRPr="00960D6B" w:rsidRDefault="003E4626" w:rsidP="00197690">
      <w:pPr>
        <w:jc w:val="both"/>
        <w:rPr>
          <w:rFonts w:ascii="Tele-GroteskEEHal" w:hAnsi="Tele-GroteskEEHal"/>
          <w:sz w:val="22"/>
          <w:szCs w:val="22"/>
          <w:lang w:val="hr-HR"/>
        </w:rPr>
      </w:pPr>
      <w:r w:rsidRPr="00960D6B">
        <w:rPr>
          <w:rFonts w:ascii="Tele-GroteskEEHal" w:hAnsi="Tele-GroteskEEHal"/>
          <w:sz w:val="22"/>
          <w:szCs w:val="22"/>
          <w:lang w:val="hr-HR"/>
        </w:rPr>
        <w:t>Kako bi uskladio hrvatski regulatorni okvir s izmjenama i dopunama okvira EU-a iz 2009., Hrvatski je sabor usvojio izmjene i dopune Zakona o elektroničkim komunikacijama u srpnju 2011. koje su stupile na snagu u kolovozu 2011.</w:t>
      </w:r>
    </w:p>
    <w:p w:rsidR="003E4626" w:rsidRPr="00960D6B" w:rsidRDefault="003E4626" w:rsidP="00197690">
      <w:pPr>
        <w:jc w:val="both"/>
        <w:rPr>
          <w:rFonts w:ascii="Tele-GroteskEEHal" w:hAnsi="Tele-GroteskEEHal"/>
          <w:sz w:val="22"/>
          <w:szCs w:val="22"/>
          <w:lang w:val="hr-HR"/>
        </w:rPr>
      </w:pPr>
    </w:p>
    <w:p w:rsidR="003E4626" w:rsidRPr="00960D6B" w:rsidRDefault="003E4626" w:rsidP="00197690">
      <w:pPr>
        <w:jc w:val="both"/>
        <w:rPr>
          <w:rFonts w:ascii="Tele-GroteskEEHal" w:hAnsi="Tele-GroteskEEHal"/>
          <w:sz w:val="22"/>
          <w:szCs w:val="22"/>
          <w:lang w:val="hr-HR"/>
        </w:rPr>
      </w:pPr>
      <w:r w:rsidRPr="00960D6B">
        <w:rPr>
          <w:rFonts w:ascii="Tele-GroteskEEHal" w:hAnsi="Tele-GroteskEEHal"/>
          <w:sz w:val="22"/>
          <w:szCs w:val="22"/>
          <w:lang w:val="hr-HR"/>
        </w:rPr>
        <w:t>Navedenim će se izmjenama i dopunama povećati diskrecijske ovlasti Hrvatske agencije za poštu i elektroničke komunikacije (Agencija ili HAKOM) u vezi s uređenjem elektroničkoga komunikacijskog tržišta, te se očekuje da će one rezultirati strožim regulatornim sustavom.</w:t>
      </w:r>
    </w:p>
    <w:p w:rsidR="003E4626" w:rsidRPr="00960D6B" w:rsidRDefault="003E4626" w:rsidP="00197690">
      <w:pPr>
        <w:jc w:val="both"/>
        <w:rPr>
          <w:rFonts w:ascii="Tele-GroteskEEHal" w:hAnsi="Tele-GroteskEEHal"/>
          <w:sz w:val="22"/>
          <w:szCs w:val="22"/>
          <w:lang w:val="hr-HR"/>
        </w:rPr>
      </w:pPr>
    </w:p>
    <w:p w:rsidR="003E4626" w:rsidRPr="00960D6B" w:rsidRDefault="003E4626" w:rsidP="00197690">
      <w:pPr>
        <w:jc w:val="both"/>
        <w:rPr>
          <w:rFonts w:ascii="Tele-GroteskEEHal" w:hAnsi="Tele-GroteskEEHal"/>
          <w:sz w:val="22"/>
          <w:szCs w:val="22"/>
          <w:lang w:val="hr-HR"/>
        </w:rPr>
      </w:pPr>
      <w:r w:rsidRPr="00960D6B">
        <w:rPr>
          <w:rFonts w:ascii="Tele-GroteskEEHal" w:hAnsi="Tele-GroteskEEHal"/>
          <w:sz w:val="22"/>
          <w:szCs w:val="22"/>
          <w:lang w:val="hr-HR"/>
        </w:rPr>
        <w:t>Operatorima u Hrvatskoj dan je rok od 90 dana za usklađivanje poslovanja s novim odredbama Zakona.</w:t>
      </w:r>
    </w:p>
    <w:p w:rsidR="003E4626" w:rsidRPr="00960D6B" w:rsidRDefault="003E4626" w:rsidP="00197690">
      <w:pPr>
        <w:jc w:val="both"/>
        <w:rPr>
          <w:rFonts w:ascii="Tele-GroteskEEHal" w:hAnsi="Tele-GroteskEEHal"/>
          <w:sz w:val="22"/>
          <w:szCs w:val="22"/>
          <w:lang w:val="hr-HR"/>
        </w:rPr>
      </w:pPr>
    </w:p>
    <w:p w:rsidR="003E4626" w:rsidRPr="00960D6B" w:rsidRDefault="003E4626" w:rsidP="00197690">
      <w:pPr>
        <w:contextualSpacing/>
        <w:jc w:val="both"/>
        <w:rPr>
          <w:rFonts w:ascii="Tele-GroteskEEHal" w:hAnsi="Tele-GroteskEEHal"/>
          <w:sz w:val="22"/>
          <w:szCs w:val="22"/>
          <w:lang w:val="hr-HR"/>
        </w:rPr>
      </w:pPr>
      <w:r w:rsidRPr="00960D6B">
        <w:rPr>
          <w:rFonts w:ascii="Tele-GroteskEEHal" w:hAnsi="Tele-GroteskEEHal"/>
          <w:sz w:val="22"/>
          <w:szCs w:val="22"/>
          <w:lang w:val="hr-HR"/>
        </w:rPr>
        <w:t>U travnju 2011. Agencija je donijela odluke kojima je odredila da je test trostrukog kriterija ispunjen za dva tržišta – tržište pristupa nepokretnoj mreži i tržište javnih govornih usluga:</w:t>
      </w:r>
    </w:p>
    <w:p w:rsidR="003E4626" w:rsidRPr="00960D6B" w:rsidRDefault="003E4626" w:rsidP="00197690">
      <w:pPr>
        <w:numPr>
          <w:ilvl w:val="0"/>
          <w:numId w:val="15"/>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tržište javno dostupne telefonske usluge u mjesnom i/ili međumjesnom prometu koja se pruža na fiksnoj lokaciji za privatne korisnike,</w:t>
      </w:r>
    </w:p>
    <w:p w:rsidR="003E4626" w:rsidRPr="00960D6B" w:rsidRDefault="003E4626" w:rsidP="00197690">
      <w:pPr>
        <w:numPr>
          <w:ilvl w:val="0"/>
          <w:numId w:val="15"/>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tržište javno dostupne telefonske usluge u mjesnom i/ili međumjesnom prometu koja se pruža na fiksnoj lokaciji za poslovne korisnike.</w:t>
      </w:r>
    </w:p>
    <w:p w:rsidR="003E4626" w:rsidRPr="00960D6B" w:rsidRDefault="003E4626" w:rsidP="00197690">
      <w:p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Naknadno, u srpnju 2011., Agencija je donijela odluke kojima je odredila da je test trostrukog kriterija ispunjen i za:</w:t>
      </w:r>
    </w:p>
    <w:p w:rsidR="003E4626" w:rsidRPr="00960D6B" w:rsidRDefault="003E4626" w:rsidP="00197690">
      <w:pPr>
        <w:numPr>
          <w:ilvl w:val="0"/>
          <w:numId w:val="15"/>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maloprodajno tržište širokopojasnog pristupa internetu.</w:t>
      </w:r>
    </w:p>
    <w:p w:rsidR="003E4626" w:rsidRPr="00960D6B" w:rsidRDefault="003E4626" w:rsidP="008E7FAF">
      <w:pPr>
        <w:suppressAutoHyphens w:val="0"/>
        <w:contextualSpacing/>
        <w:jc w:val="both"/>
        <w:rPr>
          <w:rFonts w:ascii="Tele-GroteskEEHal" w:hAnsi="Tele-GroteskEEHal"/>
          <w:sz w:val="22"/>
          <w:szCs w:val="22"/>
          <w:lang w:val="hr-HR"/>
        </w:rPr>
      </w:pPr>
    </w:p>
    <w:p w:rsidR="003E4626" w:rsidRPr="00960D6B" w:rsidRDefault="003E4626" w:rsidP="0094168F">
      <w:p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To znači da Agencija smatra kako tržišta pod točkama 1., 2. i 3. podliježu prethodnom regulatornom nadzoru te da je potrebno analizirati postoje li na njima operatori za značajnom tržišnom snagom. Javna rasprava o analizi tržišta pod točkama 1. i 2. završila je 16. lipnja, a za tržište pod točkom 3. na dan 12. rujna 2011. Još uvijek se čekaju konačne odluke Agencije o analizama navedenih tržišta i regulatornim obvezama.</w:t>
      </w:r>
    </w:p>
    <w:p w:rsidR="003E4626" w:rsidRPr="00960D6B" w:rsidRDefault="003E4626" w:rsidP="008E7FAF">
      <w:pPr>
        <w:contextualSpacing/>
        <w:jc w:val="both"/>
        <w:rPr>
          <w:rFonts w:ascii="Tele-GroteskEEHal" w:hAnsi="Tele-GroteskEEHal"/>
          <w:sz w:val="22"/>
          <w:szCs w:val="22"/>
          <w:lang w:val="hr-HR"/>
        </w:rPr>
      </w:pPr>
    </w:p>
    <w:p w:rsidR="003E4626" w:rsidRPr="00960D6B" w:rsidRDefault="003E4626" w:rsidP="0094168F">
      <w:pPr>
        <w:jc w:val="both"/>
        <w:rPr>
          <w:rFonts w:ascii="Tele-GroteskEEHal" w:hAnsi="Tele-GroteskEEHal"/>
          <w:sz w:val="22"/>
          <w:szCs w:val="22"/>
          <w:lang w:val="hr-HR"/>
        </w:rPr>
      </w:pPr>
      <w:r w:rsidRPr="00960D6B">
        <w:rPr>
          <w:rFonts w:ascii="Tele-GroteskEEHal" w:hAnsi="Tele-GroteskEEHal"/>
          <w:sz w:val="22"/>
          <w:szCs w:val="22"/>
          <w:lang w:val="hr-HR"/>
        </w:rPr>
        <w:t xml:space="preserve">Svojom odlukom iz ožujka 2010. godine Agencija je odredila da postotak "X", koji bi se trebao primjenjivati za izračun cijene Grupe za veleprodajni </w:t>
      </w:r>
      <w:r w:rsidRPr="00960D6B">
        <w:rPr>
          <w:rFonts w:ascii="Tele-GroteskEEHal" w:hAnsi="Tele-GroteskEEHal"/>
          <w:i/>
          <w:sz w:val="22"/>
          <w:szCs w:val="22"/>
          <w:lang w:val="hr-HR"/>
        </w:rPr>
        <w:t xml:space="preserve">bitstream </w:t>
      </w:r>
      <w:r w:rsidRPr="00960D6B">
        <w:rPr>
          <w:rFonts w:ascii="Tele-GroteskEEHal" w:hAnsi="Tele-GroteskEEHal"/>
          <w:sz w:val="22"/>
          <w:szCs w:val="22"/>
          <w:lang w:val="hr-HR"/>
        </w:rPr>
        <w:t xml:space="preserve">pristup u bakrenoj mreži na IP razini (metodologija maloprodaja minus), treba iznositi 40%. U rujnu 2010. Agencija je donijela odluku o daljnjem smanjenju cijene veleprodajnog </w:t>
      </w:r>
      <w:r w:rsidRPr="00960D6B">
        <w:rPr>
          <w:rFonts w:ascii="Tele-GroteskEEHal" w:hAnsi="Tele-GroteskEEHal"/>
          <w:i/>
          <w:sz w:val="22"/>
          <w:szCs w:val="22"/>
          <w:lang w:val="hr-HR"/>
        </w:rPr>
        <w:t>bitstream</w:t>
      </w:r>
      <w:r w:rsidRPr="00960D6B">
        <w:rPr>
          <w:rFonts w:ascii="Tele-GroteskEEHal" w:hAnsi="Tele-GroteskEEHal"/>
          <w:sz w:val="22"/>
          <w:szCs w:val="22"/>
          <w:lang w:val="hr-HR"/>
        </w:rPr>
        <w:t xml:space="preserve"> pristupa (smanjenje cijene za virtualne privatne kanale za govorne i IPTV usluge). Međutim, u rujnu 2011. Agencija je pokrenula reviziju razine X% u svrhu izračunavanja cijena </w:t>
      </w:r>
      <w:r w:rsidRPr="00960D6B">
        <w:rPr>
          <w:rFonts w:ascii="Tele-GroteskEEHal" w:hAnsi="Tele-GroteskEEHal"/>
          <w:i/>
          <w:sz w:val="22"/>
          <w:szCs w:val="22"/>
          <w:lang w:val="hr-HR"/>
        </w:rPr>
        <w:t>bitstreama</w:t>
      </w:r>
      <w:r w:rsidRPr="00960D6B">
        <w:rPr>
          <w:rFonts w:ascii="Tele-GroteskEEHal" w:hAnsi="Tele-GroteskEEHal"/>
          <w:sz w:val="22"/>
          <w:szCs w:val="22"/>
          <w:lang w:val="hr-HR"/>
        </w:rPr>
        <w:t xml:space="preserve"> u bakrenoj mreži, uz prijedlog da se X% poveća na 60%. Postupak je još uvijek u tijeku.</w:t>
      </w:r>
    </w:p>
    <w:p w:rsidR="003E4626" w:rsidRPr="00960D6B" w:rsidRDefault="003E4626" w:rsidP="008E7FAF">
      <w:pPr>
        <w:jc w:val="both"/>
        <w:rPr>
          <w:rFonts w:ascii="Tele-GroteskEEHal" w:hAnsi="Tele-GroteskEEHal"/>
          <w:sz w:val="22"/>
          <w:szCs w:val="22"/>
          <w:lang w:val="hr-HR"/>
        </w:rPr>
      </w:pPr>
    </w:p>
    <w:p w:rsidR="003E4626" w:rsidRPr="00960D6B" w:rsidRDefault="003E4626" w:rsidP="00CC1ED2">
      <w:pPr>
        <w:jc w:val="both"/>
        <w:rPr>
          <w:rFonts w:ascii="Tele-GroteskEEHal" w:hAnsi="Tele-GroteskEEHal"/>
          <w:sz w:val="22"/>
          <w:szCs w:val="22"/>
          <w:lang w:val="hr-HR"/>
        </w:rPr>
      </w:pPr>
      <w:r w:rsidRPr="00960D6B">
        <w:rPr>
          <w:rFonts w:ascii="Tele-GroteskEEHal" w:hAnsi="Tele-GroteskEEHal"/>
          <w:sz w:val="22"/>
          <w:szCs w:val="22"/>
          <w:lang w:val="hr-HR"/>
        </w:rPr>
        <w:t xml:space="preserve">Nadalje, sukladno obvezi koja je određena Grupi temeljem odluke Agencije o određivanju operatora sa značajnom tržišnom snagom i određivanju regulatornih obveza na veleprodajnom tržištu širokopojasnog pristupa, Društvo je objavilo "standardnu ponudu za veleprodajni </w:t>
      </w:r>
      <w:r w:rsidRPr="00960D6B">
        <w:rPr>
          <w:rFonts w:ascii="Tele-GroteskEEHal" w:hAnsi="Tele-GroteskEEHal"/>
          <w:i/>
          <w:sz w:val="22"/>
          <w:szCs w:val="22"/>
          <w:lang w:val="hr-HR"/>
        </w:rPr>
        <w:t>bitstream</w:t>
      </w:r>
      <w:r w:rsidRPr="00960D6B">
        <w:rPr>
          <w:rFonts w:ascii="Tele-GroteskEEHal" w:hAnsi="Tele-GroteskEEHal"/>
          <w:sz w:val="22"/>
          <w:szCs w:val="22"/>
          <w:lang w:val="hr-HR"/>
        </w:rPr>
        <w:t xml:space="preserve"> pristup putem optičke pristupne mreže Grupe". Međutim, u kolovozu 2011. Agencija je pokrenula postupak izmjena i dopuna ovog dijela standardne ponude Grupe. Postupak je još uvijek u tijeku.</w:t>
      </w:r>
    </w:p>
    <w:p w:rsidR="003E4626" w:rsidRPr="00960D6B" w:rsidRDefault="003E4626" w:rsidP="008E7FAF">
      <w:pPr>
        <w:jc w:val="both"/>
        <w:rPr>
          <w:rFonts w:ascii="Tele-GroteskEEHal" w:hAnsi="Tele-GroteskEEHal"/>
          <w:sz w:val="22"/>
          <w:szCs w:val="22"/>
          <w:lang w:val="hr-HR"/>
        </w:rPr>
      </w:pPr>
    </w:p>
    <w:p w:rsidR="003E4626" w:rsidRPr="00960D6B" w:rsidRDefault="003E4626" w:rsidP="000A25AC">
      <w:pPr>
        <w:contextualSpacing/>
        <w:jc w:val="both"/>
        <w:rPr>
          <w:rFonts w:ascii="Tele-GroteskEEHal" w:hAnsi="Tele-GroteskEEHal"/>
          <w:sz w:val="22"/>
          <w:szCs w:val="22"/>
          <w:lang w:val="hr-HR"/>
        </w:rPr>
      </w:pPr>
      <w:r w:rsidRPr="00960D6B">
        <w:rPr>
          <w:rFonts w:ascii="Tele-GroteskEEHal" w:hAnsi="Tele-GroteskEEHal"/>
          <w:sz w:val="22"/>
          <w:szCs w:val="22"/>
          <w:lang w:val="hr-HR"/>
        </w:rPr>
        <w:t>Na dan 6. travnja 2011. Agencija je završila analizu maloprodajnog tržišta pristupa javnoj komunikacijskoj mreži na fiksnoj lokaciji za privatne i poslovne korisnike i proglasila Društvo i njegovo ovisno društvo Iskon Internet operatorima sa značajnom tržišnom snagom. Društvu su određene sljedeće regulatorne obveze:</w:t>
      </w:r>
    </w:p>
    <w:p w:rsidR="003E4626" w:rsidRPr="00960D6B" w:rsidRDefault="003E4626" w:rsidP="000A25AC">
      <w:pPr>
        <w:numPr>
          <w:ilvl w:val="0"/>
          <w:numId w:val="19"/>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pristup mreži i korištenje posebnih dijelova mreže (obveza uvođenja samostalnog DSL-a i najma korisničke linije – WLR – i usluge samostalnog pristupa na maloprodajnoj razini)</w:t>
      </w:r>
    </w:p>
    <w:p w:rsidR="003E4626" w:rsidRPr="00960D6B" w:rsidRDefault="003E4626" w:rsidP="000A25AC">
      <w:pPr>
        <w:numPr>
          <w:ilvl w:val="0"/>
          <w:numId w:val="19"/>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nediskriminacija</w:t>
      </w:r>
    </w:p>
    <w:p w:rsidR="003E4626" w:rsidRPr="00960D6B" w:rsidRDefault="003E4626" w:rsidP="000A25AC">
      <w:pPr>
        <w:numPr>
          <w:ilvl w:val="0"/>
          <w:numId w:val="19"/>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 xml:space="preserve">transparentnost </w:t>
      </w:r>
    </w:p>
    <w:p w:rsidR="003E4626" w:rsidRPr="00960D6B" w:rsidRDefault="003E4626" w:rsidP="000A25AC">
      <w:pPr>
        <w:numPr>
          <w:ilvl w:val="0"/>
          <w:numId w:val="19"/>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nadzor cijena usluga pristupa na maloprodajnoj razini (obavijest o maloprodajnim cijenama 30 dana unaprijed; zabrana neopravdanog povezivanja usluga)</w:t>
      </w:r>
    </w:p>
    <w:p w:rsidR="003E4626" w:rsidRPr="00960D6B" w:rsidRDefault="003E4626" w:rsidP="000A25AC">
      <w:pPr>
        <w:numPr>
          <w:ilvl w:val="0"/>
          <w:numId w:val="19"/>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računovodstveno razdvajanje i troškovno računovodstvo (u tijeku je projekt troškovnog računovodstva pokrenut krajem 2008. godine)</w:t>
      </w:r>
    </w:p>
    <w:p w:rsidR="003E4626" w:rsidRPr="00960D6B" w:rsidRDefault="003E4626" w:rsidP="000A25AC">
      <w:pPr>
        <w:contextualSpacing/>
        <w:jc w:val="both"/>
        <w:rPr>
          <w:rFonts w:ascii="Tele-GroteskEEHal" w:hAnsi="Tele-GroteskEEHal"/>
          <w:sz w:val="22"/>
          <w:szCs w:val="22"/>
          <w:lang w:val="hr-HR"/>
        </w:rPr>
      </w:pPr>
    </w:p>
    <w:p w:rsidR="003E4626" w:rsidRPr="00960D6B" w:rsidRDefault="003E4626" w:rsidP="000A25AC">
      <w:pPr>
        <w:contextualSpacing/>
        <w:jc w:val="both"/>
        <w:rPr>
          <w:rFonts w:ascii="Tele-GroteskEEHal" w:hAnsi="Tele-GroteskEEHal"/>
          <w:sz w:val="22"/>
          <w:szCs w:val="22"/>
          <w:lang w:val="hr-HR"/>
        </w:rPr>
      </w:pPr>
      <w:r w:rsidRPr="00960D6B">
        <w:rPr>
          <w:rFonts w:ascii="Tele-GroteskEEHal" w:hAnsi="Tele-GroteskEEHal"/>
          <w:sz w:val="22"/>
          <w:szCs w:val="22"/>
          <w:lang w:val="hr-HR"/>
        </w:rPr>
        <w:t xml:space="preserve">Društvu Iskon Internet određena je obveza nadzora cijena usluga pristupa na maloprodajnoj razini. </w:t>
      </w:r>
    </w:p>
    <w:p w:rsidR="003E4626" w:rsidRPr="00960D6B" w:rsidRDefault="003E4626" w:rsidP="000A25AC">
      <w:pPr>
        <w:contextualSpacing/>
        <w:jc w:val="both"/>
        <w:rPr>
          <w:rFonts w:ascii="Tele-GroteskEEHal" w:hAnsi="Tele-GroteskEEHal"/>
          <w:sz w:val="22"/>
          <w:szCs w:val="22"/>
          <w:lang w:val="hr-HR"/>
        </w:rPr>
      </w:pPr>
    </w:p>
    <w:p w:rsidR="003E4626" w:rsidRPr="00960D6B" w:rsidRDefault="003E4626" w:rsidP="000A25AC">
      <w:pPr>
        <w:contextualSpacing/>
        <w:jc w:val="both"/>
        <w:rPr>
          <w:rFonts w:ascii="Tele-GroteskEEHal" w:hAnsi="Tele-GroteskEEHal"/>
          <w:sz w:val="22"/>
          <w:szCs w:val="22"/>
          <w:lang w:val="hr-HR"/>
        </w:rPr>
      </w:pPr>
      <w:r w:rsidRPr="00960D6B">
        <w:rPr>
          <w:rFonts w:ascii="Tele-GroteskEEHal" w:hAnsi="Tele-GroteskEEHal"/>
          <w:sz w:val="22"/>
          <w:szCs w:val="22"/>
          <w:lang w:val="hr-HR"/>
        </w:rPr>
        <w:t>Sukladno gore navedenim obvezama, u lipnju i srpnju 2011. Društvo je objavilo veleprodajne standardne ponude za samostalni bitstream pristup (BSA) i najam korisničke linije.</w:t>
      </w:r>
    </w:p>
    <w:p w:rsidR="003E4626" w:rsidRPr="00960D6B" w:rsidRDefault="003E4626" w:rsidP="008E7FAF">
      <w:pPr>
        <w:contextualSpacing/>
        <w:jc w:val="both"/>
        <w:rPr>
          <w:rFonts w:ascii="Tele-GroteskEEHal" w:hAnsi="Tele-GroteskEEHal"/>
          <w:sz w:val="22"/>
          <w:szCs w:val="22"/>
          <w:lang w:val="hr-HR"/>
        </w:rPr>
      </w:pPr>
    </w:p>
    <w:p w:rsidR="003E4626" w:rsidRPr="00960D6B" w:rsidRDefault="003E4626" w:rsidP="008D3D83">
      <w:pPr>
        <w:jc w:val="both"/>
        <w:rPr>
          <w:rFonts w:ascii="Tele-GroteskEEHal" w:hAnsi="Tele-GroteskEEHal"/>
          <w:sz w:val="22"/>
          <w:szCs w:val="22"/>
          <w:lang w:val="hr-HR"/>
        </w:rPr>
      </w:pPr>
      <w:r w:rsidRPr="00960D6B">
        <w:rPr>
          <w:rFonts w:ascii="Tele-GroteskEEHal" w:hAnsi="Tele-GroteskEEHal"/>
          <w:sz w:val="22"/>
          <w:szCs w:val="22"/>
          <w:lang w:val="hr-HR"/>
        </w:rPr>
        <w:t>U kolovozu 2011. Agencija je završila analizu maloprodajnih tržišta – javno dostupne telefonske usluge u mjesnom i/ili međumjesnom prometu koja se pruža na fiksnoj lokaciji za privatne i poslovne korisnike – i proglasila Grupu i Iskon operatorima sa značajnom tržišnom snagom na navedenim tržištima. Shodno tomu, Grupi su određene sljedeće obveze:</w:t>
      </w:r>
    </w:p>
    <w:p w:rsidR="003E4626" w:rsidRPr="00960D6B" w:rsidRDefault="003E4626" w:rsidP="008D3D83">
      <w:pPr>
        <w:numPr>
          <w:ilvl w:val="0"/>
          <w:numId w:val="19"/>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nadzor maloprodajnih cijena (troškovna usmjerenost, obavijest o cijenama Agenciji 45 dana prije uvođenja, nediskriminacija)</w:t>
      </w:r>
    </w:p>
    <w:p w:rsidR="003E4626" w:rsidRPr="00960D6B" w:rsidRDefault="003E4626" w:rsidP="008D3D83">
      <w:pPr>
        <w:numPr>
          <w:ilvl w:val="0"/>
          <w:numId w:val="19"/>
        </w:numPr>
        <w:suppressAutoHyphens w:val="0"/>
        <w:contextualSpacing/>
        <w:jc w:val="both"/>
        <w:rPr>
          <w:rFonts w:ascii="Tele-GroteskEEHal" w:hAnsi="Tele-GroteskEEHal"/>
          <w:sz w:val="22"/>
          <w:szCs w:val="22"/>
          <w:lang w:val="hr-HR"/>
        </w:rPr>
      </w:pPr>
      <w:r w:rsidRPr="00960D6B">
        <w:rPr>
          <w:rFonts w:ascii="Tele-GroteskEEHal" w:hAnsi="Tele-GroteskEEHal"/>
          <w:sz w:val="22"/>
          <w:szCs w:val="22"/>
          <w:lang w:val="hr-HR"/>
        </w:rPr>
        <w:t>regulacija promotivnih ponuda (obavijest o promotivnim ponudama Agenciji 15 dana prije pokretanja, trajanje promotivnih ponuda ograničeno je na dva mjeseca, promotivne pogodnosti ne smiju se primjenjivati dulje od tri mjeseca, promotivne ponude iste usluge ne smiju se ponavljati više od jednom godišnje).</w:t>
      </w:r>
    </w:p>
    <w:p w:rsidR="003E4626" w:rsidRPr="00960D6B" w:rsidRDefault="003E4626" w:rsidP="008E7FAF">
      <w:pPr>
        <w:contextualSpacing/>
        <w:jc w:val="both"/>
        <w:rPr>
          <w:rFonts w:ascii="Tele-GroteskEEHal" w:hAnsi="Tele-GroteskEEHal"/>
          <w:sz w:val="22"/>
          <w:szCs w:val="22"/>
          <w:lang w:val="hr-HR"/>
        </w:rPr>
      </w:pPr>
    </w:p>
    <w:p w:rsidR="003E4626" w:rsidRPr="003A213F" w:rsidRDefault="003E4626" w:rsidP="00BE0F08">
      <w:pPr>
        <w:jc w:val="both"/>
        <w:rPr>
          <w:rFonts w:ascii="Tele-GroteskEEHal" w:hAnsi="Tele-GroteskEEHal"/>
          <w:sz w:val="22"/>
          <w:szCs w:val="22"/>
          <w:lang w:val="hr-HR"/>
        </w:rPr>
      </w:pPr>
      <w:r w:rsidRPr="003A213F">
        <w:rPr>
          <w:rFonts w:ascii="Tele-GroteskEEHal" w:hAnsi="Tele-GroteskEEHal"/>
          <w:sz w:val="22"/>
          <w:szCs w:val="22"/>
          <w:lang w:val="hr-HR"/>
        </w:rPr>
        <w:t xml:space="preserve">U rujnu 2011. Agencija je završila test trostrukog kriterija za maloprodajno tržište širokopojasnog pristupa internetu i utvrdila da navedeno tržište podliježe prethodnoj regulaciji. </w:t>
      </w:r>
    </w:p>
    <w:p w:rsidR="003E4626" w:rsidRPr="003A213F" w:rsidRDefault="003E4626" w:rsidP="00BE0F08">
      <w:pPr>
        <w:jc w:val="both"/>
        <w:rPr>
          <w:rFonts w:ascii="Tele-GroteskEEHal" w:hAnsi="Tele-GroteskEEHal"/>
          <w:sz w:val="22"/>
          <w:szCs w:val="22"/>
          <w:lang w:val="hr-HR"/>
        </w:rPr>
      </w:pPr>
    </w:p>
    <w:p w:rsidR="003E4626" w:rsidRPr="003A213F" w:rsidRDefault="003E4626" w:rsidP="00345409">
      <w:pPr>
        <w:suppressAutoHyphens w:val="0"/>
        <w:autoSpaceDE w:val="0"/>
        <w:autoSpaceDN w:val="0"/>
        <w:adjustRightInd w:val="0"/>
        <w:jc w:val="both"/>
        <w:rPr>
          <w:rFonts w:ascii="Tele-GroteskEEHal" w:hAnsi="Tele-GroteskEEHal"/>
          <w:sz w:val="22"/>
          <w:szCs w:val="22"/>
          <w:lang w:val="hr-HR"/>
        </w:rPr>
      </w:pPr>
      <w:r w:rsidRPr="003A213F">
        <w:rPr>
          <w:rFonts w:ascii="Tele-GroteskEEHal" w:hAnsi="Tele-GroteskEEHal"/>
          <w:sz w:val="22"/>
          <w:szCs w:val="22"/>
          <w:lang w:val="hr-HR"/>
        </w:rPr>
        <w:t>Shodno tomu, 24. listopada 2011. Agencija je objavila svoj prijedlog da odredi Društvo i Iskon operatorima sa značajnom tržišnom snagom na (i) tržištu maloprodaje širokopojasnog pristupa internetu i (ii) tržištu maloprodaje prijenosa televizijskih programa uz plaćanje naknade (u daljnjem tekstu: IPTV tržište), iako IPTV tržište nije definirano sukladno primjenjivim zakonima niti je ranije određeno kao tržište koje podliježe regulaciji specifičnoj za sektor (bez obzira na činjenicu da je to preduvjet sukladno pravilima EU-a). Javna rasprava o regulatornim obvezama predloženim za tržište maloprodaje širokopojasnog pristupa internetu i IPTV usluga nastavlja se do 23. listopada 2011.</w:t>
      </w:r>
    </w:p>
    <w:p w:rsidR="003E4626" w:rsidRPr="003A213F" w:rsidRDefault="003E4626" w:rsidP="00345409">
      <w:pPr>
        <w:suppressAutoHyphens w:val="0"/>
        <w:autoSpaceDE w:val="0"/>
        <w:autoSpaceDN w:val="0"/>
        <w:adjustRightInd w:val="0"/>
        <w:jc w:val="both"/>
        <w:rPr>
          <w:rFonts w:ascii="Tele-GroteskEEHal" w:hAnsi="Tele-GroteskEEHal"/>
          <w:sz w:val="22"/>
          <w:szCs w:val="22"/>
          <w:lang w:val="hr-HR"/>
        </w:rPr>
      </w:pPr>
    </w:p>
    <w:p w:rsidR="003E4626" w:rsidRPr="00960D6B" w:rsidRDefault="003E4626" w:rsidP="00BE0F08">
      <w:pPr>
        <w:contextualSpacing/>
        <w:jc w:val="both"/>
        <w:rPr>
          <w:rFonts w:ascii="Tele-GroteskEEHal" w:hAnsi="Tele-GroteskEEHal"/>
          <w:sz w:val="22"/>
          <w:szCs w:val="22"/>
          <w:lang w:val="hr-HR"/>
        </w:rPr>
      </w:pPr>
      <w:r w:rsidRPr="003A213F">
        <w:rPr>
          <w:rFonts w:ascii="Tele-GroteskEEHal" w:hAnsi="Tele-GroteskEEHal"/>
          <w:sz w:val="22"/>
          <w:szCs w:val="22"/>
          <w:lang w:val="hr-HR"/>
        </w:rPr>
        <w:t>U listopadu 2010. Grupa je (ponovno) proglašena davateljem univerzalnih usluga za sljedećih pet</w:t>
      </w:r>
      <w:r w:rsidRPr="00960D6B">
        <w:rPr>
          <w:rFonts w:ascii="Tele-GroteskEEHal" w:hAnsi="Tele-GroteskEEHal"/>
          <w:sz w:val="22"/>
          <w:szCs w:val="22"/>
          <w:lang w:val="hr-HR"/>
        </w:rPr>
        <w:t xml:space="preserve"> godina za sve univerzalne usluge (osim usluge imenika pretplatnika koju Grupa može nastaviti pružati na komercijalnoj osnovi). Cijene univerzalnih usluga moraju biti „pristupačne“. Ostale cijene, osim gore navedenih, podliježu naknadnoj provjeri i u biti nisu regulirane.</w:t>
      </w:r>
    </w:p>
    <w:p w:rsidR="003E4626" w:rsidRPr="003A213F" w:rsidRDefault="003E4626" w:rsidP="008E7FAF">
      <w:pPr>
        <w:contextualSpacing/>
        <w:jc w:val="both"/>
        <w:rPr>
          <w:rFonts w:ascii="Tele-GroteskEEHal" w:hAnsi="Tele-GroteskEEHal"/>
          <w:sz w:val="22"/>
          <w:szCs w:val="22"/>
          <w:lang w:val="hr-HR"/>
        </w:rPr>
      </w:pPr>
    </w:p>
    <w:p w:rsidR="003E4626" w:rsidRPr="003A213F" w:rsidRDefault="003E4626" w:rsidP="006F2A98">
      <w:pPr>
        <w:suppressAutoHyphens w:val="0"/>
        <w:jc w:val="both"/>
        <w:rPr>
          <w:rFonts w:ascii="Tele-GroteskEEHal" w:hAnsi="Tele-GroteskEEHal"/>
          <w:sz w:val="22"/>
          <w:szCs w:val="22"/>
          <w:lang w:val="hr-HR"/>
        </w:rPr>
      </w:pPr>
      <w:r w:rsidRPr="003A213F">
        <w:rPr>
          <w:rFonts w:ascii="Tele-GroteskEEHal" w:hAnsi="Tele-GroteskEEHal"/>
          <w:sz w:val="22"/>
          <w:szCs w:val="22"/>
          <w:lang w:val="hr-HR"/>
        </w:rPr>
        <w:t>Računovodstveno razdvajanje (primjenjuje se samo na poslovanje nepokretnih komunikacija Društva); u tijeku je projekt troškovnog računovodstva pokrenut krajem 2008. U trećem tromjesečju 2011. Agencija je počela razvijati vlastiti troškovni model za sve regulirane usluge.</w:t>
      </w:r>
    </w:p>
    <w:p w:rsidR="003E4626" w:rsidRPr="00960D6B" w:rsidRDefault="003E4626" w:rsidP="008E7FAF">
      <w:pPr>
        <w:contextualSpacing/>
        <w:jc w:val="both"/>
        <w:rPr>
          <w:rFonts w:ascii="Tele-GroteskEEHal" w:hAnsi="Tele-GroteskEEHal"/>
          <w:sz w:val="22"/>
          <w:szCs w:val="22"/>
          <w:lang w:val="hr-HR"/>
        </w:rPr>
      </w:pPr>
    </w:p>
    <w:p w:rsidR="003E4626" w:rsidRPr="00960D6B" w:rsidRDefault="003E4626" w:rsidP="00BC2588">
      <w:pPr>
        <w:jc w:val="both"/>
        <w:rPr>
          <w:rFonts w:ascii="Tele-GroteskEEHal" w:hAnsi="Tele-GroteskEEHal"/>
          <w:sz w:val="22"/>
          <w:szCs w:val="22"/>
          <w:lang w:val="hr-HR"/>
        </w:rPr>
      </w:pPr>
      <w:bookmarkStart w:id="0" w:name="OLE_LINK1"/>
      <w:bookmarkStart w:id="1" w:name="OLE_LINK2"/>
      <w:r w:rsidRPr="00960D6B">
        <w:rPr>
          <w:rFonts w:ascii="Tele-GroteskEEHal" w:hAnsi="Tele-GroteskEEHal"/>
          <w:sz w:val="22"/>
          <w:szCs w:val="22"/>
          <w:lang w:val="hr-HR"/>
        </w:rPr>
        <w:t>Registracija prepaid korisnika u pokretnim mrežama je u tijeku.</w:t>
      </w:r>
    </w:p>
    <w:bookmarkEnd w:id="0"/>
    <w:bookmarkEnd w:id="1"/>
    <w:p w:rsidR="003E4626" w:rsidRDefault="003E4626" w:rsidP="00BC2588">
      <w:pPr>
        <w:jc w:val="both"/>
        <w:rPr>
          <w:rFonts w:ascii="Tele-GroteskEEHal" w:hAnsi="Tele-GroteskEEHal" w:cs="Tahoma"/>
          <w:b/>
          <w:sz w:val="28"/>
          <w:szCs w:val="28"/>
          <w:lang w:val="hr-HR"/>
        </w:rPr>
      </w:pPr>
    </w:p>
    <w:p w:rsidR="003E4626" w:rsidRPr="00960D6B" w:rsidRDefault="003E4626" w:rsidP="00BC2588">
      <w:pPr>
        <w:jc w:val="both"/>
        <w:rPr>
          <w:rFonts w:ascii="Tele-GroteskEEHal" w:hAnsi="Tele-GroteskEEHal" w:cs="Tahoma"/>
          <w:b/>
          <w:sz w:val="28"/>
          <w:szCs w:val="28"/>
          <w:lang w:val="hr-HR"/>
        </w:rPr>
      </w:pPr>
    </w:p>
    <w:p w:rsidR="003E4626" w:rsidRPr="00960D6B" w:rsidRDefault="003E4626" w:rsidP="00BC2588">
      <w:pPr>
        <w:jc w:val="both"/>
        <w:rPr>
          <w:rFonts w:ascii="Tele-GroteskEEHal" w:hAnsi="Tele-GroteskEEHal" w:cs="Tahoma"/>
          <w:b/>
          <w:sz w:val="28"/>
          <w:szCs w:val="28"/>
          <w:lang w:val="hr-HR"/>
        </w:rPr>
      </w:pPr>
      <w:r w:rsidRPr="00960D6B">
        <w:rPr>
          <w:rFonts w:ascii="Tele-GroteskEEHal" w:hAnsi="Tele-GroteskEEHal" w:cs="Tahoma"/>
          <w:b/>
          <w:sz w:val="28"/>
          <w:szCs w:val="28"/>
          <w:lang w:val="hr-HR"/>
        </w:rPr>
        <w:t>Izvješćivanje po segmentima</w:t>
      </w:r>
    </w:p>
    <w:p w:rsidR="003E4626" w:rsidRPr="00960D6B" w:rsidRDefault="003E4626" w:rsidP="00BC2588">
      <w:pPr>
        <w:jc w:val="both"/>
        <w:rPr>
          <w:rFonts w:ascii="Tele-GroteskEEHal" w:hAnsi="Tele-GroteskEEHal" w:cs="Tahoma"/>
          <w:color w:val="FF0000"/>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Od 1. siječnja 2010. stara poslovna područja T-Com i T-Mobile, koja su opsluživala tržišta nepokretnih i pokretnih komunikacija, zamijenjena su novom strukturom koja se temelji na Poslovnoj jedinici za privatne korisnike i Poslovnoj jedinici za poslovne korisnike. Počevši od prvog tromjesečja 2011. uvedeno je novo izvješćivanje prema segmentaciji korisnika s tri zasebna poslovna segmenta: Segment privatnih korisnika, Segment poslovnih korisnika i Mreža i funkcije podrške.</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Segment privatnih korisnika obuhvaća marketinške, prodajne i korisničke usluge, a usredotočen je na pružanje usluga pokretnih i nepokretnih telekomunikacija te usluga televizijske distribucije privatnim korisnicima.</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Segment poslovnih korisnika obuhvaća marketinške, prodajne i korisničke usluge, a usredotočen je na pružanje usluga pokretnih i nepokretnih telekomunikacija te usluga integracije sustava korporativnim korisnicima, malim i srednjim poduzetnicima i javnom sektoru. Također je odgovoran za poslovanje veleprodaje usluga pokretnih i nepokretnih komunikacija.</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Mreža i funkcije podrške provode upravljanje između segmenata i funkcije podrške, a obuhvaćaju tehniku, nabavu, računovodstvo, riznicu, pravne poslove i druge središnje funkcije.</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Društva u potpunom vlasništvu T-HT-a su Iskon Internet, Combis i KDS i konsolidirana su unutar odgovarajućih poslovnih segmenata.</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Grupa izvješćuje o EBITDA-i i primarnim prihodima i rashodima (odnosno prihodima i rashodima koji uključuju treće strane) svojih poslovnih segmenata.</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Amortizacija se ne dodjeljuje segmentima budući da je većina vezana uz nepokretnu i pokretnu mrežu koja je dio Mreže i funkcija podrške.</w:t>
      </w:r>
    </w:p>
    <w:p w:rsidR="003E4626" w:rsidRPr="00960D6B" w:rsidRDefault="003E4626" w:rsidP="00140FB3">
      <w:pPr>
        <w:jc w:val="both"/>
        <w:rPr>
          <w:rFonts w:ascii="Tele-GroteskEEHal" w:hAnsi="Tele-GroteskEEHal"/>
          <w:b/>
          <w:szCs w:val="22"/>
          <w:lang w:val="hr-HR"/>
        </w:rPr>
      </w:pPr>
    </w:p>
    <w:p w:rsidR="003E4626" w:rsidRDefault="003E4626" w:rsidP="00614FDF">
      <w:pPr>
        <w:jc w:val="both"/>
        <w:rPr>
          <w:rFonts w:ascii="Tele-GroteskEEHal" w:hAnsi="Tele-GroteskEEHal"/>
          <w:b/>
          <w:szCs w:val="22"/>
          <w:lang w:val="hr-HR"/>
        </w:rPr>
      </w:pPr>
    </w:p>
    <w:p w:rsidR="003E4626" w:rsidRDefault="003E4626" w:rsidP="00614FDF">
      <w:pPr>
        <w:jc w:val="both"/>
        <w:rPr>
          <w:rFonts w:ascii="Tele-GroteskEEHal" w:hAnsi="Tele-GroteskEEHal"/>
          <w:b/>
          <w:szCs w:val="22"/>
          <w:lang w:val="hr-HR"/>
        </w:rPr>
      </w:pPr>
    </w:p>
    <w:p w:rsidR="003E4626" w:rsidRDefault="003E4626" w:rsidP="00614FDF">
      <w:pPr>
        <w:jc w:val="both"/>
        <w:rPr>
          <w:rFonts w:ascii="Tele-GroteskEEHal" w:hAnsi="Tele-GroteskEEHal"/>
          <w:b/>
          <w:szCs w:val="22"/>
          <w:lang w:val="hr-HR"/>
        </w:rPr>
      </w:pPr>
    </w:p>
    <w:p w:rsidR="003E4626" w:rsidRDefault="003E4626" w:rsidP="00614FDF">
      <w:pPr>
        <w:jc w:val="both"/>
        <w:rPr>
          <w:rFonts w:ascii="Tele-GroteskEEHal" w:hAnsi="Tele-GroteskEEHal"/>
          <w:b/>
          <w:szCs w:val="22"/>
          <w:lang w:val="hr-HR"/>
        </w:rPr>
      </w:pPr>
    </w:p>
    <w:p w:rsidR="003E4626" w:rsidRPr="00960D6B" w:rsidRDefault="003E4626" w:rsidP="00614FDF">
      <w:pPr>
        <w:jc w:val="both"/>
        <w:rPr>
          <w:rFonts w:ascii="Tele-GroteskEEHal" w:hAnsi="Tele-GroteskEEHal"/>
          <w:b/>
          <w:szCs w:val="22"/>
          <w:lang w:val="hr-HR"/>
        </w:rPr>
      </w:pPr>
      <w:r w:rsidRPr="00960D6B">
        <w:rPr>
          <w:rFonts w:ascii="Tele-GroteskEEHal" w:hAnsi="Tele-GroteskEEHal"/>
          <w:b/>
          <w:szCs w:val="22"/>
          <w:lang w:val="hr-HR"/>
        </w:rPr>
        <w:t>Promjena vijeka trajanja odnosa s korisnicima</w:t>
      </w:r>
    </w:p>
    <w:p w:rsidR="003E4626" w:rsidRPr="00960D6B" w:rsidRDefault="003E4626" w:rsidP="00614FDF">
      <w:pPr>
        <w:jc w:val="both"/>
        <w:rPr>
          <w:rFonts w:ascii="Tele-GroteskEEHal" w:hAnsi="Tele-GroteskEEHal"/>
          <w:b/>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Sukladno Računovodstvenim politikama Grupe, prihodi od naknade za prikapčanje trebaju se priznavati tijekom procijenjenog vijeka trajanja odnosa s korisnicima. Do sada je procijenjeni vijek trajanja odnosa s korisnicima u segmentu nepokretne telefonije bio 10 godina.</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b/>
          <w:szCs w:val="22"/>
          <w:lang w:val="hr-HR"/>
        </w:rPr>
      </w:pPr>
      <w:r w:rsidRPr="00960D6B">
        <w:rPr>
          <w:rFonts w:ascii="Tele-GroteskEEHal" w:hAnsi="Tele-GroteskEEHal" w:cs="Tahoma"/>
          <w:sz w:val="22"/>
          <w:szCs w:val="22"/>
          <w:lang w:val="hr-HR"/>
        </w:rPr>
        <w:t>Zbog izmijenjenih uvjeta na tržištu provedena je ponovna procjena vijeka trajanja te je izračunato da će od 1. siječnja 2011. novi vijek trajanja iznositi 3 godine. Ova je promjena priznata u trećem tromjesečju 2011. i ima pozitivan učinak na prihode u iznosu od 73 milijuna kuna.</w:t>
      </w:r>
    </w:p>
    <w:p w:rsidR="003E4626" w:rsidRDefault="003E4626" w:rsidP="00F14576">
      <w:pPr>
        <w:suppressAutoHyphens w:val="0"/>
        <w:rPr>
          <w:rFonts w:ascii="Tele-GroteskEEHal" w:hAnsi="Tele-GroteskEEHal" w:cs="Arial"/>
          <w:b/>
          <w:bCs/>
          <w:lang w:val="hr-HR"/>
        </w:rPr>
      </w:pPr>
    </w:p>
    <w:p w:rsidR="003E4626" w:rsidRPr="00960D6B" w:rsidRDefault="003E4626" w:rsidP="00F14576">
      <w:pPr>
        <w:suppressAutoHyphens w:val="0"/>
        <w:rPr>
          <w:rFonts w:ascii="Tele-GroteskEEHal" w:hAnsi="Tele-GroteskEEHal" w:cs="Arial"/>
          <w:b/>
          <w:bCs/>
          <w:lang w:val="hr-HR"/>
        </w:rPr>
      </w:pPr>
    </w:p>
    <w:p w:rsidR="003E4626" w:rsidRPr="00960D6B" w:rsidRDefault="003E4626" w:rsidP="00614FDF">
      <w:pPr>
        <w:jc w:val="both"/>
        <w:rPr>
          <w:rFonts w:ascii="Tele-GroteskEEHal" w:hAnsi="Tele-GroteskEEHal"/>
          <w:b/>
          <w:szCs w:val="22"/>
          <w:lang w:val="hr-HR"/>
        </w:rPr>
      </w:pPr>
      <w:r w:rsidRPr="00960D6B">
        <w:rPr>
          <w:rFonts w:ascii="Tele-GroteskEEHal" w:hAnsi="Tele-GroteskEEHal"/>
          <w:b/>
          <w:szCs w:val="22"/>
          <w:lang w:val="hr-HR"/>
        </w:rPr>
        <w:t>Promjena definicije prepaid korisnika</w:t>
      </w:r>
    </w:p>
    <w:p w:rsidR="003E4626" w:rsidRPr="00960D6B" w:rsidRDefault="003E4626" w:rsidP="00614FDF">
      <w:pPr>
        <w:jc w:val="both"/>
        <w:rPr>
          <w:rFonts w:ascii="Tele-GroteskEEHal" w:hAnsi="Tele-GroteskEEHal"/>
          <w:b/>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Od prvog tromjesečja 2011. regulator (HAKOM) je promijenio definiciju ukupne baze prepaid korisnika na način da se samo SIM kartice koje ostvaruju promet ili su nadoplaćene bonom u zadnjih 90 dana trebaju smatrati korisnicima.</w:t>
      </w:r>
    </w:p>
    <w:p w:rsidR="003E4626" w:rsidRPr="00960D6B" w:rsidRDefault="003E4626" w:rsidP="00614FDF">
      <w:pPr>
        <w:jc w:val="both"/>
        <w:rPr>
          <w:rFonts w:ascii="Tele-GroteskEEHal" w:hAnsi="Tele-GroteskEEHal" w:cs="Tahoma"/>
          <w:sz w:val="22"/>
          <w:szCs w:val="22"/>
          <w:lang w:val="hr-HR"/>
        </w:rPr>
      </w:pPr>
    </w:p>
    <w:p w:rsidR="003E4626" w:rsidRPr="00960D6B" w:rsidRDefault="003E4626" w:rsidP="00614FDF">
      <w:pPr>
        <w:jc w:val="both"/>
        <w:rPr>
          <w:rFonts w:ascii="Tele-GroteskEEHal" w:hAnsi="Tele-GroteskEEHal" w:cs="Tahoma"/>
          <w:sz w:val="22"/>
          <w:szCs w:val="22"/>
          <w:lang w:val="hr-HR"/>
        </w:rPr>
      </w:pPr>
      <w:r w:rsidRPr="00960D6B">
        <w:rPr>
          <w:rFonts w:ascii="Tele-GroteskEEHal" w:hAnsi="Tele-GroteskEEHal" w:cs="Tahoma"/>
          <w:sz w:val="22"/>
          <w:szCs w:val="22"/>
          <w:lang w:val="hr-HR"/>
        </w:rPr>
        <w:t xml:space="preserve">Do sada je T-HT koristio definiciju baze korisnika koja kaže da se sve aktivirane SIM kartice trebaju uračunati u bazu korisnika. </w:t>
      </w:r>
    </w:p>
    <w:p w:rsidR="003E4626" w:rsidRPr="00960D6B" w:rsidRDefault="003E4626" w:rsidP="00477A8D">
      <w:pPr>
        <w:jc w:val="both"/>
        <w:rPr>
          <w:rFonts w:ascii="Tele-GroteskEEHal" w:hAnsi="Tele-GroteskEEHal" w:cs="Tahoma"/>
          <w:sz w:val="22"/>
          <w:szCs w:val="22"/>
          <w:lang w:val="hr-HR"/>
        </w:rPr>
      </w:pPr>
      <w:r w:rsidRPr="00960D6B">
        <w:rPr>
          <w:rFonts w:ascii="Tele-GroteskEEHal" w:hAnsi="Tele-GroteskEEHal" w:cs="Tahoma"/>
          <w:sz w:val="22"/>
          <w:szCs w:val="22"/>
          <w:lang w:val="hr-HR"/>
        </w:rPr>
        <w:t xml:space="preserve">Za treće tromjesečje 2011. T-HT je uskladio broj prepaid korisnika s novom HAKOM-ovom definicijom i shodno tomu sve povezane KPU-e. Podaci za usporediva razdoblja ponovno su iskazani u ovom izvješću u skladu s novom definicijom. </w:t>
      </w:r>
    </w:p>
    <w:p w:rsidR="003E4626" w:rsidRPr="00960D6B" w:rsidRDefault="003E4626" w:rsidP="00140FB3">
      <w:pPr>
        <w:jc w:val="both"/>
        <w:rPr>
          <w:rFonts w:ascii="Tele-GroteskEEHal" w:hAnsi="Tele-GroteskEEHal" w:cs="Tahoma"/>
          <w:sz w:val="22"/>
          <w:szCs w:val="22"/>
          <w:lang w:val="hr-HR"/>
        </w:rPr>
      </w:pPr>
    </w:p>
    <w:p w:rsidR="003E4626" w:rsidRDefault="003E4626" w:rsidP="004E2924">
      <w:pPr>
        <w:suppressAutoHyphens w:val="0"/>
        <w:rPr>
          <w:rFonts w:ascii="Tele-GroteskEEHal" w:hAnsi="Tele-GroteskEEHal" w:cs="Arial"/>
          <w:b/>
          <w:bCs/>
          <w:lang w:val="hr-HR"/>
        </w:rPr>
      </w:pPr>
    </w:p>
    <w:p w:rsidR="003E4626" w:rsidRDefault="003E4626" w:rsidP="004E2924">
      <w:pPr>
        <w:suppressAutoHyphens w:val="0"/>
        <w:rPr>
          <w:rFonts w:ascii="Tele-GroteskEEHal" w:hAnsi="Tele-GroteskEEHal" w:cs="Arial"/>
          <w:b/>
          <w:bCs/>
          <w:lang w:val="hr-HR"/>
        </w:rPr>
      </w:pPr>
    </w:p>
    <w:p w:rsidR="003E4626" w:rsidRPr="00960D6B" w:rsidRDefault="003E4626" w:rsidP="004E2924">
      <w:pPr>
        <w:spacing w:after="120"/>
        <w:outlineLvl w:val="0"/>
        <w:rPr>
          <w:lang w:val="hr-HR"/>
        </w:rPr>
      </w:pPr>
      <w:r w:rsidRPr="00960D6B">
        <w:rPr>
          <w:rFonts w:ascii="Tele-GroteskEEHal" w:hAnsi="Tele-GroteskEEHal"/>
          <w:b/>
          <w:bCs/>
          <w:lang w:val="hr-HR"/>
        </w:rPr>
        <w:t>Informacije o tečaju</w:t>
      </w:r>
    </w:p>
    <w:tbl>
      <w:tblPr>
        <w:tblW w:w="8663" w:type="dxa"/>
        <w:tblInd w:w="108" w:type="dxa"/>
        <w:tblLook w:val="01E0"/>
      </w:tblPr>
      <w:tblGrid>
        <w:gridCol w:w="3852"/>
        <w:gridCol w:w="959"/>
        <w:gridCol w:w="1220"/>
        <w:gridCol w:w="1283"/>
        <w:gridCol w:w="1349"/>
      </w:tblGrid>
      <w:tr w:rsidR="003E4626" w:rsidRPr="00960D6B" w:rsidTr="001A3C33">
        <w:trPr>
          <w:trHeight w:val="332"/>
        </w:trPr>
        <w:tc>
          <w:tcPr>
            <w:tcW w:w="3852" w:type="dxa"/>
            <w:vMerge w:val="restart"/>
            <w:shd w:val="clear" w:color="auto" w:fill="E20074"/>
            <w:vAlign w:val="center"/>
          </w:tcPr>
          <w:p w:rsidR="003E4626" w:rsidRPr="00960D6B" w:rsidRDefault="003E4626" w:rsidP="001A3C33">
            <w:pPr>
              <w:keepLines/>
              <w:rPr>
                <w:rFonts w:ascii="Tele-GroteskEEHal" w:hAnsi="Tele-GroteskEEHal" w:cs="Arial"/>
                <w:b/>
                <w:color w:val="FFFFFF"/>
                <w:highlight w:val="yellow"/>
                <w:lang w:val="hr-HR" w:eastAsia="en-US"/>
              </w:rPr>
            </w:pPr>
          </w:p>
        </w:tc>
        <w:tc>
          <w:tcPr>
            <w:tcW w:w="2179" w:type="dxa"/>
            <w:gridSpan w:val="2"/>
            <w:shd w:val="clear" w:color="auto" w:fill="E20074"/>
          </w:tcPr>
          <w:p w:rsidR="003E4626" w:rsidRPr="00960D6B" w:rsidRDefault="003E4626" w:rsidP="001A3C33">
            <w:pPr>
              <w:keepLines/>
              <w:jc w:val="center"/>
              <w:rPr>
                <w:rFonts w:ascii="Tele-GroteskEEHal" w:hAnsi="Tele-GroteskEEHal" w:cs="Arial"/>
                <w:b/>
                <w:color w:val="FFFFFF"/>
                <w:lang w:val="hr-HR" w:eastAsia="en-US"/>
              </w:rPr>
            </w:pPr>
            <w:r w:rsidRPr="00960D6B">
              <w:rPr>
                <w:rFonts w:ascii="Tele-GroteskEEHal" w:hAnsi="Tele-GroteskEEHal" w:cs="Arial"/>
                <w:b/>
                <w:color w:val="FFFFFF"/>
                <w:sz w:val="22"/>
                <w:szCs w:val="22"/>
                <w:lang w:val="hr-HR" w:eastAsia="en-US"/>
              </w:rPr>
              <w:t>Kuna per Euro</w:t>
            </w:r>
          </w:p>
        </w:tc>
        <w:tc>
          <w:tcPr>
            <w:tcW w:w="2632" w:type="dxa"/>
            <w:gridSpan w:val="2"/>
            <w:shd w:val="clear" w:color="auto" w:fill="E20074"/>
          </w:tcPr>
          <w:p w:rsidR="003E4626" w:rsidRPr="00960D6B" w:rsidRDefault="003E4626" w:rsidP="001A3C33">
            <w:pPr>
              <w:keepLines/>
              <w:jc w:val="center"/>
              <w:rPr>
                <w:rFonts w:ascii="Tele-GroteskEEHal" w:hAnsi="Tele-GroteskEEHal" w:cs="Arial"/>
                <w:b/>
                <w:color w:val="FFFFFF"/>
                <w:lang w:val="hr-HR" w:eastAsia="en-US"/>
              </w:rPr>
            </w:pPr>
            <w:r w:rsidRPr="00960D6B">
              <w:rPr>
                <w:rFonts w:ascii="Tele-GroteskEEHal" w:hAnsi="Tele-GroteskEEHal" w:cs="Arial"/>
                <w:b/>
                <w:color w:val="FFFFFF"/>
                <w:sz w:val="22"/>
                <w:szCs w:val="22"/>
                <w:lang w:val="hr-HR" w:eastAsia="en-US"/>
              </w:rPr>
              <w:t>Kuna per U.S. dollar</w:t>
            </w:r>
          </w:p>
        </w:tc>
      </w:tr>
      <w:tr w:rsidR="003E4626" w:rsidRPr="00960D6B" w:rsidTr="001A3C33">
        <w:trPr>
          <w:trHeight w:val="332"/>
        </w:trPr>
        <w:tc>
          <w:tcPr>
            <w:tcW w:w="3852" w:type="dxa"/>
            <w:vMerge/>
            <w:shd w:val="clear" w:color="auto" w:fill="E20074"/>
          </w:tcPr>
          <w:p w:rsidR="003E4626" w:rsidRPr="00960D6B" w:rsidRDefault="003E4626" w:rsidP="001A3C33">
            <w:pPr>
              <w:keepLines/>
              <w:rPr>
                <w:rFonts w:ascii="Tele-GroteskEEHal" w:hAnsi="Tele-GroteskEEHal" w:cs="Arial"/>
                <w:b/>
                <w:color w:val="FFFFFF"/>
                <w:highlight w:val="yellow"/>
                <w:lang w:val="hr-HR" w:eastAsia="en-US"/>
              </w:rPr>
            </w:pPr>
          </w:p>
        </w:tc>
        <w:tc>
          <w:tcPr>
            <w:tcW w:w="959" w:type="dxa"/>
            <w:shd w:val="clear" w:color="auto" w:fill="E20074"/>
          </w:tcPr>
          <w:p w:rsidR="003E4626" w:rsidRPr="00960D6B" w:rsidRDefault="003E4626" w:rsidP="001A3C33">
            <w:pPr>
              <w:keepLines/>
              <w:jc w:val="center"/>
              <w:rPr>
                <w:rFonts w:ascii="Tele-GroteskEEHal" w:hAnsi="Tele-GroteskEEHal" w:cs="Arial"/>
                <w:b/>
                <w:color w:val="FFFFFF"/>
                <w:lang w:val="hr-HR" w:eastAsia="en-US"/>
              </w:rPr>
            </w:pPr>
            <w:r w:rsidRPr="00960D6B">
              <w:rPr>
                <w:rFonts w:ascii="Tele-GroteskEEHal" w:hAnsi="Tele-GroteskEEHal" w:cs="Arial"/>
                <w:b/>
                <w:color w:val="FFFFFF"/>
                <w:sz w:val="22"/>
                <w:szCs w:val="22"/>
                <w:lang w:val="hr-HR" w:eastAsia="en-US"/>
              </w:rPr>
              <w:t>Average</w:t>
            </w:r>
          </w:p>
        </w:tc>
        <w:tc>
          <w:tcPr>
            <w:tcW w:w="1220" w:type="dxa"/>
            <w:shd w:val="clear" w:color="auto" w:fill="E20074"/>
          </w:tcPr>
          <w:p w:rsidR="003E4626" w:rsidRPr="00960D6B" w:rsidRDefault="003E4626" w:rsidP="001A3C33">
            <w:pPr>
              <w:keepLines/>
              <w:jc w:val="center"/>
              <w:rPr>
                <w:rFonts w:ascii="Tele-GroteskEEHal" w:hAnsi="Tele-GroteskEEHal" w:cs="Arial"/>
                <w:b/>
                <w:color w:val="FFFFFF"/>
                <w:lang w:val="hr-HR" w:eastAsia="en-US"/>
              </w:rPr>
            </w:pPr>
            <w:r w:rsidRPr="00960D6B">
              <w:rPr>
                <w:rFonts w:ascii="Tele-GroteskEEHal" w:hAnsi="Tele-GroteskEEHal" w:cs="Arial"/>
                <w:b/>
                <w:color w:val="FFFFFF"/>
                <w:sz w:val="22"/>
                <w:szCs w:val="22"/>
                <w:lang w:val="hr-HR" w:eastAsia="en-US"/>
              </w:rPr>
              <w:t>Period end</w:t>
            </w:r>
          </w:p>
        </w:tc>
        <w:tc>
          <w:tcPr>
            <w:tcW w:w="1283" w:type="dxa"/>
            <w:shd w:val="clear" w:color="auto" w:fill="E20074"/>
          </w:tcPr>
          <w:p w:rsidR="003E4626" w:rsidRPr="00960D6B" w:rsidRDefault="003E4626" w:rsidP="001A3C33">
            <w:pPr>
              <w:keepLines/>
              <w:jc w:val="center"/>
              <w:rPr>
                <w:rFonts w:ascii="Tele-GroteskEEHal" w:hAnsi="Tele-GroteskEEHal" w:cs="Arial"/>
                <w:b/>
                <w:color w:val="FFFFFF"/>
                <w:lang w:val="hr-HR" w:eastAsia="en-US"/>
              </w:rPr>
            </w:pPr>
            <w:r w:rsidRPr="00960D6B">
              <w:rPr>
                <w:rFonts w:ascii="Tele-GroteskEEHal" w:hAnsi="Tele-GroteskEEHal" w:cs="Arial"/>
                <w:b/>
                <w:color w:val="FFFFFF"/>
                <w:sz w:val="22"/>
                <w:szCs w:val="22"/>
                <w:lang w:val="hr-HR" w:eastAsia="en-US"/>
              </w:rPr>
              <w:t>Average</w:t>
            </w:r>
          </w:p>
        </w:tc>
        <w:tc>
          <w:tcPr>
            <w:tcW w:w="1349" w:type="dxa"/>
            <w:shd w:val="clear" w:color="auto" w:fill="E20074"/>
          </w:tcPr>
          <w:p w:rsidR="003E4626" w:rsidRPr="00960D6B" w:rsidRDefault="003E4626" w:rsidP="001A3C33">
            <w:pPr>
              <w:keepLines/>
              <w:jc w:val="center"/>
              <w:rPr>
                <w:rFonts w:ascii="Tele-GroteskEEHal" w:hAnsi="Tele-GroteskEEHal" w:cs="Arial"/>
                <w:b/>
                <w:color w:val="FFFFFF"/>
                <w:lang w:val="hr-HR" w:eastAsia="en-US"/>
              </w:rPr>
            </w:pPr>
            <w:r w:rsidRPr="00960D6B">
              <w:rPr>
                <w:rFonts w:ascii="Tele-GroteskEEHal" w:hAnsi="Tele-GroteskEEHal" w:cs="Arial"/>
                <w:b/>
                <w:color w:val="FFFFFF"/>
                <w:sz w:val="22"/>
                <w:szCs w:val="22"/>
                <w:lang w:val="hr-HR" w:eastAsia="en-US"/>
              </w:rPr>
              <w:t>Period end</w:t>
            </w:r>
          </w:p>
        </w:tc>
      </w:tr>
      <w:tr w:rsidR="003E4626" w:rsidRPr="00960D6B" w:rsidTr="001A3C33">
        <w:trPr>
          <w:trHeight w:val="332"/>
        </w:trPr>
        <w:tc>
          <w:tcPr>
            <w:tcW w:w="3852" w:type="dxa"/>
          </w:tcPr>
          <w:p w:rsidR="003E4626" w:rsidRPr="00960D6B" w:rsidRDefault="003E4626" w:rsidP="001A3C33">
            <w:pPr>
              <w:keepLines/>
              <w:rPr>
                <w:rFonts w:ascii="Tele-GroteskEEHal" w:hAnsi="Tele-GroteskEEHal" w:cs="Arial"/>
                <w:highlight w:val="yellow"/>
                <w:lang w:val="hr-HR" w:eastAsia="en-US"/>
              </w:rPr>
            </w:pPr>
            <w:r w:rsidRPr="00960D6B">
              <w:rPr>
                <w:rFonts w:ascii="Tele-GroteskEEHal" w:hAnsi="Tele-GroteskEEHal" w:cs="Arial"/>
                <w:sz w:val="22"/>
                <w:szCs w:val="22"/>
                <w:lang w:val="hr-HR"/>
              </w:rPr>
              <w:t>Nine months to 30 September 2010</w:t>
            </w:r>
          </w:p>
        </w:tc>
        <w:tc>
          <w:tcPr>
            <w:tcW w:w="959"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7.26</w:t>
            </w:r>
          </w:p>
        </w:tc>
        <w:tc>
          <w:tcPr>
            <w:tcW w:w="1220"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7.29</w:t>
            </w:r>
          </w:p>
        </w:tc>
        <w:tc>
          <w:tcPr>
            <w:tcW w:w="1283"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5.53</w:t>
            </w:r>
          </w:p>
        </w:tc>
        <w:tc>
          <w:tcPr>
            <w:tcW w:w="1349"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5.36</w:t>
            </w:r>
          </w:p>
        </w:tc>
      </w:tr>
      <w:tr w:rsidR="003E4626" w:rsidRPr="00960D6B" w:rsidTr="001A3C33">
        <w:trPr>
          <w:trHeight w:val="332"/>
        </w:trPr>
        <w:tc>
          <w:tcPr>
            <w:tcW w:w="3852" w:type="dxa"/>
          </w:tcPr>
          <w:p w:rsidR="003E4626" w:rsidRPr="00960D6B" w:rsidRDefault="003E4626" w:rsidP="001A3C33">
            <w:pPr>
              <w:keepLines/>
              <w:rPr>
                <w:rFonts w:ascii="Tele-GroteskEEHal" w:hAnsi="Tele-GroteskEEHal" w:cs="Arial"/>
                <w:lang w:val="hr-HR" w:eastAsia="en-US"/>
              </w:rPr>
            </w:pPr>
            <w:r w:rsidRPr="00960D6B">
              <w:rPr>
                <w:rFonts w:ascii="Tele-GroteskEEHal" w:hAnsi="Tele-GroteskEEHal" w:cs="Arial"/>
                <w:sz w:val="22"/>
                <w:szCs w:val="22"/>
                <w:lang w:val="hr-HR"/>
              </w:rPr>
              <w:t>Nine months to 30 September 2011</w:t>
            </w:r>
          </w:p>
        </w:tc>
        <w:tc>
          <w:tcPr>
            <w:tcW w:w="959"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7.41</w:t>
            </w:r>
          </w:p>
        </w:tc>
        <w:tc>
          <w:tcPr>
            <w:tcW w:w="1220"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7.49</w:t>
            </w:r>
          </w:p>
        </w:tc>
        <w:tc>
          <w:tcPr>
            <w:tcW w:w="1283"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5.27</w:t>
            </w:r>
          </w:p>
        </w:tc>
        <w:tc>
          <w:tcPr>
            <w:tcW w:w="1349" w:type="dxa"/>
          </w:tcPr>
          <w:p w:rsidR="003E4626" w:rsidRPr="00960D6B" w:rsidRDefault="003E4626" w:rsidP="001A3C33">
            <w:pPr>
              <w:keepLines/>
              <w:jc w:val="center"/>
              <w:rPr>
                <w:rFonts w:ascii="Tele-GroteskEEHal" w:hAnsi="Tele-GroteskEEHal" w:cs="Arial"/>
                <w:lang w:val="hr-HR" w:eastAsia="en-US"/>
              </w:rPr>
            </w:pPr>
            <w:r w:rsidRPr="00960D6B">
              <w:rPr>
                <w:rFonts w:ascii="Tele-GroteskEEHal" w:hAnsi="Tele-GroteskEEHal" w:cs="Arial"/>
                <w:sz w:val="22"/>
                <w:szCs w:val="22"/>
                <w:lang w:val="hr-HR" w:eastAsia="en-US"/>
              </w:rPr>
              <w:t>5.49</w:t>
            </w:r>
          </w:p>
        </w:tc>
      </w:tr>
    </w:tbl>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4E2924">
      <w:pPr>
        <w:jc w:val="both"/>
        <w:rPr>
          <w:b/>
          <w:color w:val="000000"/>
          <w:sz w:val="22"/>
          <w:szCs w:val="22"/>
          <w:lang w:val="hr-HR"/>
        </w:rPr>
      </w:pPr>
    </w:p>
    <w:p w:rsidR="003E4626" w:rsidRDefault="003E4626" w:rsidP="00F14576">
      <w:pPr>
        <w:suppressAutoHyphens w:val="0"/>
        <w:rPr>
          <w:rFonts w:ascii="Tele-GroteskEEHal" w:hAnsi="Tele-GroteskEEHal" w:cs="Arial"/>
          <w:b/>
          <w:bCs/>
          <w:lang w:val="hr-HR"/>
        </w:rPr>
      </w:pPr>
    </w:p>
    <w:p w:rsidR="003E4626" w:rsidRDefault="003E4626" w:rsidP="00801FD6">
      <w:pPr>
        <w:suppressAutoHyphens w:val="0"/>
        <w:rPr>
          <w:rFonts w:ascii="Tele-GroteskEEHal" w:hAnsi="Tele-GroteskEEHal" w:cs="Arial"/>
          <w:b/>
          <w:bCs/>
          <w:lang w:val="hr-HR"/>
        </w:rPr>
      </w:pPr>
      <w:r w:rsidRPr="00960D6B">
        <w:rPr>
          <w:rFonts w:ascii="Tele-GroteskEEHal" w:hAnsi="Tele-GroteskEEHal" w:cs="Arial"/>
          <w:b/>
          <w:bCs/>
          <w:lang w:val="hr-HR"/>
        </w:rPr>
        <w:t>Sažetak ključnih financijskih pokazatelja</w:t>
      </w:r>
    </w:p>
    <w:p w:rsidR="003E4626" w:rsidRDefault="003E4626" w:rsidP="00801FD6">
      <w:pPr>
        <w:suppressAutoHyphens w:val="0"/>
        <w:rPr>
          <w:rFonts w:ascii="Tele-GroteskEEHal" w:hAnsi="Tele-GroteskEEHal" w:cs="Arial"/>
          <w:b/>
          <w:bCs/>
          <w:lang w:val="hr-HR"/>
        </w:rPr>
      </w:pPr>
    </w:p>
    <w:tbl>
      <w:tblPr>
        <w:tblW w:w="8400" w:type="dxa"/>
        <w:tblInd w:w="108" w:type="dxa"/>
        <w:tblLook w:val="0000"/>
      </w:tblPr>
      <w:tblGrid>
        <w:gridCol w:w="4216"/>
        <w:gridCol w:w="1295"/>
        <w:gridCol w:w="1295"/>
        <w:gridCol w:w="1594"/>
      </w:tblGrid>
      <w:tr w:rsidR="003E4626" w:rsidRPr="00074E6A" w:rsidTr="00074E6A">
        <w:trPr>
          <w:trHeight w:val="702"/>
        </w:trPr>
        <w:tc>
          <w:tcPr>
            <w:tcW w:w="4216"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u milijunima kuna</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2011.</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2010.</w:t>
            </w:r>
          </w:p>
        </w:tc>
        <w:tc>
          <w:tcPr>
            <w:tcW w:w="1594"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i/>
                <w:iCs/>
                <w:color w:val="FFFFFF"/>
                <w:kern w:val="0"/>
                <w:lang w:val="hr-HR" w:eastAsia="hr-HR"/>
              </w:rPr>
            </w:pPr>
            <w:r w:rsidRPr="00074E6A">
              <w:rPr>
                <w:rFonts w:ascii="Tele-GroteskEEHal" w:hAnsi="Tele-GroteskEEHal"/>
                <w:b/>
                <w:bCs/>
                <w:i/>
                <w:iCs/>
                <w:color w:val="FFFFFF"/>
                <w:kern w:val="0"/>
                <w:sz w:val="22"/>
                <w:szCs w:val="22"/>
                <w:lang w:val="hr-HR" w:eastAsia="hr-HR"/>
              </w:rPr>
              <w:t xml:space="preserve">% promjene </w:t>
            </w:r>
            <w:r w:rsidRPr="00074E6A">
              <w:rPr>
                <w:rFonts w:ascii="Tele-GroteskEEHal" w:hAnsi="Tele-GroteskEEHal"/>
                <w:b/>
                <w:bCs/>
                <w:i/>
                <w:iCs/>
                <w:color w:val="FFFFFF"/>
                <w:kern w:val="0"/>
                <w:sz w:val="22"/>
                <w:szCs w:val="22"/>
                <w:lang w:val="hr-HR" w:eastAsia="hr-HR"/>
              </w:rPr>
              <w:br/>
              <w:t>11/10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Ukupni prihod</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6.092</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6.321</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-3,6%</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EBITDA prije jednokratnih stavki</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2.799</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2.858</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-2,1%</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EBITDA nakon jednokratnih stavki</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2.799</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2.858</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-2,1%</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EBIT (dobit iz redovnog poslovanja)</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1.794</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1.870</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-4,0%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Neto dobit nakon manjinskog interesa</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1.483</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1.484</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-0,1%</w:t>
            </w:r>
          </w:p>
        </w:tc>
      </w:tr>
      <w:tr w:rsidR="003E4626" w:rsidRPr="00074E6A" w:rsidTr="00074E6A">
        <w:trPr>
          <w:trHeight w:val="199"/>
        </w:trPr>
        <w:tc>
          <w:tcPr>
            <w:tcW w:w="4216"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594"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i/>
                <w:iCs/>
                <w:kern w:val="0"/>
                <w:lang w:val="hr-HR" w:eastAsia="hr-HR"/>
              </w:rPr>
            </w:pPr>
            <w:r w:rsidRPr="00074E6A">
              <w:rPr>
                <w:rFonts w:ascii="Tele-GroteskEEHal" w:hAnsi="Tele-GroteskEEHal"/>
                <w:i/>
                <w:iCs/>
                <w:kern w:val="0"/>
                <w:sz w:val="22"/>
                <w:szCs w:val="22"/>
                <w:lang w:val="hr-HR" w:eastAsia="hr-HR"/>
              </w:rPr>
              <w:t> </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Marža EBITDA-e prije jednokratnih stavki</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46,0%</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45,2%</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0,7 p.p.</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Marža EBITDA-e nakon jednokratnih stavki</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46,0%</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45,2%</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0,7 p.p.</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Marža EBIT-a</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29,5%</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29,6%</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-0,1 p.p.</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Marža neto dobiti</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24,3%</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23,5%</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0,9 p.p.</w:t>
            </w:r>
          </w:p>
        </w:tc>
      </w:tr>
      <w:tr w:rsidR="003E4626" w:rsidRPr="00074E6A" w:rsidTr="00074E6A">
        <w:trPr>
          <w:trHeight w:val="702"/>
        </w:trPr>
        <w:tc>
          <w:tcPr>
            <w:tcW w:w="4216"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u milijunima kuna</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 xml:space="preserve">30 Ruj. </w:t>
            </w:r>
            <w:r w:rsidRPr="00074E6A">
              <w:rPr>
                <w:rFonts w:ascii="Tele-GroteskEEHal" w:hAnsi="Tele-GroteskEEHal"/>
                <w:b/>
                <w:bCs/>
                <w:color w:val="FFFFFF"/>
                <w:kern w:val="0"/>
                <w:sz w:val="22"/>
                <w:szCs w:val="22"/>
                <w:lang w:val="hr-HR" w:eastAsia="hr-HR"/>
              </w:rPr>
              <w:br/>
              <w:t>2011.</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 xml:space="preserve">31 Pro. </w:t>
            </w:r>
            <w:r w:rsidRPr="00074E6A">
              <w:rPr>
                <w:rFonts w:ascii="Tele-GroteskEEHal" w:hAnsi="Tele-GroteskEEHal"/>
                <w:b/>
                <w:bCs/>
                <w:color w:val="FFFFFF"/>
                <w:kern w:val="0"/>
                <w:sz w:val="22"/>
                <w:szCs w:val="22"/>
                <w:lang w:val="hr-HR" w:eastAsia="hr-HR"/>
              </w:rPr>
              <w:br/>
              <w:t>2010.</w:t>
            </w:r>
          </w:p>
        </w:tc>
        <w:tc>
          <w:tcPr>
            <w:tcW w:w="1594"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i/>
                <w:iCs/>
                <w:color w:val="FFFFFF"/>
                <w:kern w:val="0"/>
                <w:lang w:val="hr-HR" w:eastAsia="hr-HR"/>
              </w:rPr>
            </w:pPr>
            <w:r w:rsidRPr="00074E6A">
              <w:rPr>
                <w:rFonts w:ascii="Tele-GroteskEEHal" w:hAnsi="Tele-GroteskEEHal"/>
                <w:b/>
                <w:bCs/>
                <w:i/>
                <w:iCs/>
                <w:color w:val="FFFFFF"/>
                <w:kern w:val="0"/>
                <w:sz w:val="22"/>
                <w:szCs w:val="22"/>
                <w:lang w:val="hr-HR" w:eastAsia="hr-HR"/>
              </w:rPr>
              <w:t xml:space="preserve">% promjene </w:t>
            </w:r>
            <w:r w:rsidRPr="00074E6A">
              <w:rPr>
                <w:rFonts w:ascii="Tele-GroteskEEHal" w:hAnsi="Tele-GroteskEEHal"/>
                <w:b/>
                <w:bCs/>
                <w:i/>
                <w:iCs/>
                <w:color w:val="FFFFFF"/>
                <w:kern w:val="0"/>
                <w:sz w:val="22"/>
                <w:szCs w:val="22"/>
                <w:lang w:val="hr-HR" w:eastAsia="hr-HR"/>
              </w:rPr>
              <w:br/>
              <w:t>11/10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Novac u banci i blagajni</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2.478</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3.282</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-24,5%</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Ukupna imovina</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12.532</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13.585</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-7,7%</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Ukupni kapital i rezerve</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10.677</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11.054</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-3,4%</w:t>
            </w:r>
          </w:p>
        </w:tc>
      </w:tr>
      <w:tr w:rsidR="003E4626" w:rsidRPr="00074E6A" w:rsidTr="00074E6A">
        <w:trPr>
          <w:trHeight w:val="702"/>
        </w:trPr>
        <w:tc>
          <w:tcPr>
            <w:tcW w:w="4216"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u milijunima kuna</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2011.</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2010.</w:t>
            </w:r>
          </w:p>
        </w:tc>
        <w:tc>
          <w:tcPr>
            <w:tcW w:w="1594"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i/>
                <w:iCs/>
                <w:color w:val="FFFFFF"/>
                <w:kern w:val="0"/>
                <w:lang w:val="hr-HR" w:eastAsia="hr-HR"/>
              </w:rPr>
            </w:pPr>
            <w:r w:rsidRPr="00074E6A">
              <w:rPr>
                <w:rFonts w:ascii="Tele-GroteskEEHal" w:hAnsi="Tele-GroteskEEHal"/>
                <w:b/>
                <w:bCs/>
                <w:i/>
                <w:iCs/>
                <w:color w:val="FFFFFF"/>
                <w:kern w:val="0"/>
                <w:sz w:val="22"/>
                <w:szCs w:val="22"/>
                <w:lang w:val="hr-HR" w:eastAsia="hr-HR"/>
              </w:rPr>
              <w:t xml:space="preserve">% promjene </w:t>
            </w:r>
            <w:r w:rsidRPr="00074E6A">
              <w:rPr>
                <w:rFonts w:ascii="Tele-GroteskEEHal" w:hAnsi="Tele-GroteskEEHal"/>
                <w:b/>
                <w:bCs/>
                <w:i/>
                <w:iCs/>
                <w:color w:val="FFFFFF"/>
                <w:kern w:val="0"/>
                <w:sz w:val="22"/>
                <w:szCs w:val="22"/>
                <w:lang w:val="hr-HR" w:eastAsia="hr-HR"/>
              </w:rPr>
              <w:br/>
              <w:t>11/10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Neto novčani tijek od poslovnih aktivnosti</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1.894</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2.223</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-14,8%</w:t>
            </w:r>
          </w:p>
        </w:tc>
      </w:tr>
      <w:tr w:rsidR="003E4626" w:rsidRPr="00074E6A" w:rsidTr="00074E6A">
        <w:trPr>
          <w:trHeight w:val="225"/>
        </w:trPr>
        <w:tc>
          <w:tcPr>
            <w:tcW w:w="4216"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594"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i/>
                <w:iCs/>
                <w:kern w:val="0"/>
                <w:lang w:val="hr-HR" w:eastAsia="hr-HR"/>
              </w:rPr>
            </w:pPr>
            <w:r w:rsidRPr="00074E6A">
              <w:rPr>
                <w:rFonts w:ascii="Tele-GroteskEEHal" w:hAnsi="Tele-GroteskEEHal"/>
                <w:i/>
                <w:iCs/>
                <w:kern w:val="0"/>
                <w:sz w:val="22"/>
                <w:szCs w:val="22"/>
                <w:lang w:val="hr-HR" w:eastAsia="hr-HR"/>
              </w:rPr>
              <w:t> </w:t>
            </w:r>
          </w:p>
        </w:tc>
      </w:tr>
      <w:tr w:rsidR="003E4626" w:rsidRPr="00074E6A" w:rsidTr="00074E6A">
        <w:trPr>
          <w:trHeight w:val="300"/>
        </w:trPr>
        <w:tc>
          <w:tcPr>
            <w:tcW w:w="4216"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SEGMENT PRIVATNIH KORISNIKA</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594"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i/>
                <w:iCs/>
                <w:kern w:val="0"/>
                <w:lang w:val="hr-HR" w:eastAsia="hr-HR"/>
              </w:rPr>
            </w:pPr>
            <w:r w:rsidRPr="00074E6A">
              <w:rPr>
                <w:rFonts w:ascii="Tele-GroteskEEHal" w:hAnsi="Tele-GroteskEEHal"/>
                <w:i/>
                <w:iCs/>
                <w:kern w:val="0"/>
                <w:sz w:val="22"/>
                <w:szCs w:val="22"/>
                <w:lang w:val="hr-HR" w:eastAsia="hr-HR"/>
              </w:rPr>
              <w:t> </w:t>
            </w:r>
          </w:p>
        </w:tc>
      </w:tr>
      <w:tr w:rsidR="003E4626" w:rsidRPr="00074E6A" w:rsidTr="00074E6A">
        <w:trPr>
          <w:trHeight w:val="702"/>
        </w:trPr>
        <w:tc>
          <w:tcPr>
            <w:tcW w:w="4216"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u milijunima kuna</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2011.</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2010.</w:t>
            </w:r>
          </w:p>
        </w:tc>
        <w:tc>
          <w:tcPr>
            <w:tcW w:w="1594"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i/>
                <w:iCs/>
                <w:color w:val="FFFFFF"/>
                <w:kern w:val="0"/>
                <w:lang w:val="hr-HR" w:eastAsia="hr-HR"/>
              </w:rPr>
            </w:pPr>
            <w:r w:rsidRPr="00074E6A">
              <w:rPr>
                <w:rFonts w:ascii="Tele-GroteskEEHal" w:hAnsi="Tele-GroteskEEHal"/>
                <w:b/>
                <w:bCs/>
                <w:i/>
                <w:iCs/>
                <w:color w:val="FFFFFF"/>
                <w:kern w:val="0"/>
                <w:sz w:val="22"/>
                <w:szCs w:val="22"/>
                <w:lang w:val="hr-HR" w:eastAsia="hr-HR"/>
              </w:rPr>
              <w:t xml:space="preserve">% promjene </w:t>
            </w:r>
            <w:r w:rsidRPr="00074E6A">
              <w:rPr>
                <w:rFonts w:ascii="Tele-GroteskEEHal" w:hAnsi="Tele-GroteskEEHal"/>
                <w:b/>
                <w:bCs/>
                <w:i/>
                <w:iCs/>
                <w:color w:val="FFFFFF"/>
                <w:kern w:val="0"/>
                <w:sz w:val="22"/>
                <w:szCs w:val="22"/>
                <w:lang w:val="hr-HR" w:eastAsia="hr-HR"/>
              </w:rPr>
              <w:br/>
              <w:t>11/10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Ukupni prihod</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3.327</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3.502</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-5,0%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EBITDA Doprinos</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2.248</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2.294</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-2,0%</w:t>
            </w:r>
          </w:p>
        </w:tc>
      </w:tr>
      <w:tr w:rsidR="003E4626" w:rsidRPr="00074E6A" w:rsidTr="00074E6A">
        <w:trPr>
          <w:trHeight w:val="120"/>
        </w:trPr>
        <w:tc>
          <w:tcPr>
            <w:tcW w:w="4216"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594"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i/>
                <w:iCs/>
                <w:kern w:val="0"/>
                <w:lang w:val="hr-HR" w:eastAsia="hr-HR"/>
              </w:rPr>
            </w:pPr>
            <w:r w:rsidRPr="00074E6A">
              <w:rPr>
                <w:rFonts w:ascii="Tele-GroteskEEHal" w:hAnsi="Tele-GroteskEEHal"/>
                <w:i/>
                <w:iCs/>
                <w:kern w:val="0"/>
                <w:sz w:val="22"/>
                <w:szCs w:val="22"/>
                <w:lang w:val="hr-HR" w:eastAsia="hr-HR"/>
              </w:rPr>
              <w:t> </w:t>
            </w:r>
          </w:p>
        </w:tc>
      </w:tr>
      <w:tr w:rsidR="003E4626" w:rsidRPr="00074E6A" w:rsidTr="00074E6A">
        <w:trPr>
          <w:trHeight w:val="300"/>
        </w:trPr>
        <w:tc>
          <w:tcPr>
            <w:tcW w:w="4216"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SEGMENT POSLOVNIH KORISNIKA</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594"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i/>
                <w:iCs/>
                <w:kern w:val="0"/>
                <w:lang w:val="hr-HR" w:eastAsia="hr-HR"/>
              </w:rPr>
            </w:pPr>
            <w:r w:rsidRPr="00074E6A">
              <w:rPr>
                <w:rFonts w:ascii="Tele-GroteskEEHal" w:hAnsi="Tele-GroteskEEHal"/>
                <w:i/>
                <w:iCs/>
                <w:kern w:val="0"/>
                <w:sz w:val="22"/>
                <w:szCs w:val="22"/>
                <w:lang w:val="hr-HR" w:eastAsia="hr-HR"/>
              </w:rPr>
              <w:t> </w:t>
            </w:r>
          </w:p>
        </w:tc>
      </w:tr>
      <w:tr w:rsidR="003E4626" w:rsidRPr="00074E6A" w:rsidTr="00074E6A">
        <w:trPr>
          <w:trHeight w:val="702"/>
        </w:trPr>
        <w:tc>
          <w:tcPr>
            <w:tcW w:w="4216"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u milijunima kuna</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2011.</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2010.</w:t>
            </w:r>
          </w:p>
        </w:tc>
        <w:tc>
          <w:tcPr>
            <w:tcW w:w="1594"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i/>
                <w:iCs/>
                <w:color w:val="FFFFFF"/>
                <w:kern w:val="0"/>
                <w:lang w:val="hr-HR" w:eastAsia="hr-HR"/>
              </w:rPr>
            </w:pPr>
            <w:r w:rsidRPr="00074E6A">
              <w:rPr>
                <w:rFonts w:ascii="Tele-GroteskEEHal" w:hAnsi="Tele-GroteskEEHal"/>
                <w:b/>
                <w:bCs/>
                <w:i/>
                <w:iCs/>
                <w:color w:val="FFFFFF"/>
                <w:kern w:val="0"/>
                <w:sz w:val="22"/>
                <w:szCs w:val="22"/>
                <w:lang w:val="hr-HR" w:eastAsia="hr-HR"/>
              </w:rPr>
              <w:t xml:space="preserve">% promjene </w:t>
            </w:r>
            <w:r w:rsidRPr="00074E6A">
              <w:rPr>
                <w:rFonts w:ascii="Tele-GroteskEEHal" w:hAnsi="Tele-GroteskEEHal"/>
                <w:b/>
                <w:bCs/>
                <w:i/>
                <w:iCs/>
                <w:color w:val="FFFFFF"/>
                <w:kern w:val="0"/>
                <w:sz w:val="22"/>
                <w:szCs w:val="22"/>
                <w:lang w:val="hr-HR" w:eastAsia="hr-HR"/>
              </w:rPr>
              <w:br/>
              <w:t>11/10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Ukupni prihod</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2.765</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2.819</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-1,9%</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EBITDA Doprinos</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1.731</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1.919</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-9,8%</w:t>
            </w:r>
          </w:p>
        </w:tc>
      </w:tr>
      <w:tr w:rsidR="003E4626" w:rsidRPr="00074E6A" w:rsidTr="00074E6A">
        <w:trPr>
          <w:trHeight w:val="165"/>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color w:val="000000"/>
                <w:kern w:val="0"/>
                <w:lang w:val="hr-HR" w:eastAsia="hr-HR"/>
              </w:rPr>
            </w:pPr>
          </w:p>
        </w:tc>
        <w:tc>
          <w:tcPr>
            <w:tcW w:w="1295"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p>
        </w:tc>
        <w:tc>
          <w:tcPr>
            <w:tcW w:w="1295"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p>
        </w:tc>
        <w:tc>
          <w:tcPr>
            <w:tcW w:w="1594"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p>
        </w:tc>
      </w:tr>
      <w:tr w:rsidR="003E4626" w:rsidRPr="00074E6A" w:rsidTr="00074E6A">
        <w:trPr>
          <w:trHeight w:val="300"/>
        </w:trPr>
        <w:tc>
          <w:tcPr>
            <w:tcW w:w="4216"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MREŽA I FUNKCIJE PODRŠKE</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 </w:t>
            </w:r>
          </w:p>
        </w:tc>
        <w:tc>
          <w:tcPr>
            <w:tcW w:w="1594" w:type="dxa"/>
            <w:tcBorders>
              <w:top w:val="nil"/>
              <w:left w:val="nil"/>
              <w:bottom w:val="nil"/>
              <w:right w:val="nil"/>
            </w:tcBorders>
            <w:shd w:val="clear" w:color="auto" w:fill="FFFFFF"/>
            <w:noWrap/>
            <w:vAlign w:val="center"/>
          </w:tcPr>
          <w:p w:rsidR="003E4626" w:rsidRPr="00074E6A" w:rsidRDefault="003E4626" w:rsidP="00074E6A">
            <w:pPr>
              <w:suppressAutoHyphens w:val="0"/>
              <w:rPr>
                <w:rFonts w:ascii="Tele-GroteskEEHal" w:hAnsi="Tele-GroteskEEHal"/>
                <w:i/>
                <w:iCs/>
                <w:kern w:val="0"/>
                <w:lang w:val="hr-HR" w:eastAsia="hr-HR"/>
              </w:rPr>
            </w:pPr>
            <w:r w:rsidRPr="00074E6A">
              <w:rPr>
                <w:rFonts w:ascii="Tele-GroteskEEHal" w:hAnsi="Tele-GroteskEEHal"/>
                <w:i/>
                <w:iCs/>
                <w:kern w:val="0"/>
                <w:sz w:val="22"/>
                <w:szCs w:val="22"/>
                <w:lang w:val="hr-HR" w:eastAsia="hr-HR"/>
              </w:rPr>
              <w:t> </w:t>
            </w:r>
          </w:p>
        </w:tc>
      </w:tr>
      <w:tr w:rsidR="003E4626" w:rsidRPr="00074E6A" w:rsidTr="00074E6A">
        <w:trPr>
          <w:trHeight w:val="702"/>
        </w:trPr>
        <w:tc>
          <w:tcPr>
            <w:tcW w:w="4216" w:type="dxa"/>
            <w:tcBorders>
              <w:top w:val="nil"/>
              <w:left w:val="nil"/>
              <w:bottom w:val="nil"/>
              <w:right w:val="nil"/>
            </w:tcBorders>
            <w:shd w:val="clear" w:color="auto" w:fill="E20074"/>
            <w:noWrap/>
            <w:vAlign w:val="center"/>
          </w:tcPr>
          <w:p w:rsidR="003E4626" w:rsidRPr="00074E6A" w:rsidRDefault="003E4626" w:rsidP="00074E6A">
            <w:pPr>
              <w:suppressAutoHyphens w:val="0"/>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u milijunima kuna</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2011.</w:t>
            </w:r>
          </w:p>
        </w:tc>
        <w:tc>
          <w:tcPr>
            <w:tcW w:w="1295"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Sij.-Ruj.</w:t>
            </w:r>
            <w:r w:rsidRPr="00074E6A">
              <w:rPr>
                <w:rFonts w:ascii="Tele-GroteskEEHal" w:hAnsi="Tele-GroteskEEHal"/>
                <w:b/>
                <w:bCs/>
                <w:color w:val="FFFFFF"/>
                <w:kern w:val="0"/>
                <w:sz w:val="22"/>
                <w:szCs w:val="22"/>
                <w:lang w:val="hr-HR" w:eastAsia="hr-HR"/>
              </w:rPr>
              <w:br/>
              <w:t>2010.</w:t>
            </w:r>
          </w:p>
        </w:tc>
        <w:tc>
          <w:tcPr>
            <w:tcW w:w="1594" w:type="dxa"/>
            <w:tcBorders>
              <w:top w:val="nil"/>
              <w:left w:val="nil"/>
              <w:bottom w:val="nil"/>
              <w:right w:val="nil"/>
            </w:tcBorders>
            <w:shd w:val="clear" w:color="auto" w:fill="E20074"/>
            <w:vAlign w:val="center"/>
          </w:tcPr>
          <w:p w:rsidR="003E4626" w:rsidRPr="00074E6A" w:rsidRDefault="003E4626" w:rsidP="00074E6A">
            <w:pPr>
              <w:suppressAutoHyphens w:val="0"/>
              <w:jc w:val="right"/>
              <w:rPr>
                <w:rFonts w:ascii="Tele-GroteskEEHal" w:hAnsi="Tele-GroteskEEHal"/>
                <w:b/>
                <w:bCs/>
                <w:i/>
                <w:iCs/>
                <w:color w:val="FFFFFF"/>
                <w:kern w:val="0"/>
                <w:lang w:val="hr-HR" w:eastAsia="hr-HR"/>
              </w:rPr>
            </w:pPr>
            <w:r w:rsidRPr="00074E6A">
              <w:rPr>
                <w:rFonts w:ascii="Tele-GroteskEEHal" w:hAnsi="Tele-GroteskEEHal"/>
                <w:b/>
                <w:bCs/>
                <w:i/>
                <w:iCs/>
                <w:color w:val="FFFFFF"/>
                <w:kern w:val="0"/>
                <w:sz w:val="22"/>
                <w:szCs w:val="22"/>
                <w:lang w:val="hr-HR" w:eastAsia="hr-HR"/>
              </w:rPr>
              <w:t xml:space="preserve">% promjene </w:t>
            </w:r>
            <w:r w:rsidRPr="00074E6A">
              <w:rPr>
                <w:rFonts w:ascii="Tele-GroteskEEHal" w:hAnsi="Tele-GroteskEEHal"/>
                <w:b/>
                <w:bCs/>
                <w:i/>
                <w:iCs/>
                <w:color w:val="FFFFFF"/>
                <w:kern w:val="0"/>
                <w:sz w:val="22"/>
                <w:szCs w:val="22"/>
                <w:lang w:val="hr-HR" w:eastAsia="hr-HR"/>
              </w:rPr>
              <w:br/>
              <w:t>11/10</w:t>
            </w:r>
          </w:p>
        </w:tc>
      </w:tr>
      <w:tr w:rsidR="003E4626" w:rsidRPr="00074E6A" w:rsidTr="00074E6A">
        <w:trPr>
          <w:trHeight w:val="342"/>
        </w:trPr>
        <w:tc>
          <w:tcPr>
            <w:tcW w:w="4216"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kern w:val="0"/>
                <w:lang w:val="hr-HR" w:eastAsia="hr-HR"/>
              </w:rPr>
            </w:pPr>
            <w:r w:rsidRPr="00074E6A">
              <w:rPr>
                <w:rFonts w:ascii="Tele-GroteskEEHal" w:hAnsi="Tele-GroteskEEHal"/>
                <w:kern w:val="0"/>
                <w:sz w:val="22"/>
                <w:szCs w:val="22"/>
                <w:lang w:val="hr-HR" w:eastAsia="hr-HR"/>
              </w:rPr>
              <w:t>EBITDA Doprinos</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-1.180</w:t>
            </w:r>
          </w:p>
        </w:tc>
        <w:tc>
          <w:tcPr>
            <w:tcW w:w="1295"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-1.355</w:t>
            </w:r>
          </w:p>
        </w:tc>
        <w:tc>
          <w:tcPr>
            <w:tcW w:w="1594"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-12,9%</w:t>
            </w:r>
          </w:p>
        </w:tc>
      </w:tr>
    </w:tbl>
    <w:p w:rsidR="003E4626" w:rsidRDefault="003E4626" w:rsidP="00801FD6">
      <w:pPr>
        <w:suppressAutoHyphens w:val="0"/>
        <w:rPr>
          <w:rFonts w:ascii="Tele-GroteskEEHal" w:hAnsi="Tele-GroteskEEHal" w:cs="Arial"/>
          <w:b/>
          <w:bCs/>
          <w:lang w:val="hr-HR"/>
        </w:rPr>
      </w:pPr>
    </w:p>
    <w:p w:rsidR="003E4626" w:rsidRDefault="003E4626" w:rsidP="001020C7">
      <w:pPr>
        <w:rPr>
          <w:rFonts w:ascii="Tele-GroteskEEHal" w:hAnsi="Tele-GroteskEEHal"/>
          <w:b/>
          <w:bCs/>
          <w:sz w:val="28"/>
          <w:szCs w:val="28"/>
          <w:lang w:val="hr-HR"/>
        </w:rPr>
      </w:pPr>
      <w:r w:rsidRPr="00960D6B">
        <w:rPr>
          <w:rFonts w:ascii="Tele-GroteskEEHal" w:hAnsi="Tele-GroteskEEHal"/>
          <w:b/>
          <w:bCs/>
          <w:sz w:val="28"/>
          <w:szCs w:val="28"/>
          <w:lang w:val="hr-HR"/>
        </w:rPr>
        <w:t>Odabrani podaci o poslovanju</w:t>
      </w:r>
    </w:p>
    <w:p w:rsidR="003E4626" w:rsidRDefault="003E4626" w:rsidP="001020C7">
      <w:pPr>
        <w:rPr>
          <w:rFonts w:ascii="Tele-GroteskEEHal" w:hAnsi="Tele-GroteskEEHal"/>
          <w:b/>
          <w:bCs/>
          <w:sz w:val="28"/>
          <w:szCs w:val="28"/>
          <w:lang w:val="hr-HR"/>
        </w:rPr>
      </w:pPr>
    </w:p>
    <w:tbl>
      <w:tblPr>
        <w:tblW w:w="8880" w:type="dxa"/>
        <w:tblInd w:w="108" w:type="dxa"/>
        <w:tblLook w:val="0000"/>
      </w:tblPr>
      <w:tblGrid>
        <w:gridCol w:w="4420"/>
        <w:gridCol w:w="1300"/>
        <w:gridCol w:w="1300"/>
        <w:gridCol w:w="1600"/>
        <w:gridCol w:w="260"/>
      </w:tblGrid>
      <w:tr w:rsidR="003E4626" w:rsidRPr="00074E6A" w:rsidTr="0018575D">
        <w:trPr>
          <w:gridAfter w:val="1"/>
          <w:wAfter w:w="260" w:type="dxa"/>
          <w:trHeight w:val="799"/>
        </w:trPr>
        <w:tc>
          <w:tcPr>
            <w:tcW w:w="4420" w:type="dxa"/>
            <w:tcBorders>
              <w:top w:val="single" w:sz="4" w:space="0" w:color="auto"/>
              <w:left w:val="nil"/>
              <w:bottom w:val="single" w:sz="4" w:space="0" w:color="auto"/>
              <w:right w:val="nil"/>
            </w:tcBorders>
            <w:shd w:val="clear" w:color="auto" w:fill="E20074"/>
            <w:vAlign w:val="center"/>
          </w:tcPr>
          <w:p w:rsidR="003E4626" w:rsidRPr="00074E6A" w:rsidRDefault="003E4626" w:rsidP="00074E6A">
            <w:pPr>
              <w:suppressAutoHyphens w:val="0"/>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Ključni podaci o redovnom poslovanju</w:t>
            </w:r>
          </w:p>
        </w:tc>
        <w:tc>
          <w:tcPr>
            <w:tcW w:w="1300" w:type="dxa"/>
            <w:tcBorders>
              <w:top w:val="single" w:sz="4" w:space="0" w:color="auto"/>
              <w:left w:val="nil"/>
              <w:bottom w:val="single" w:sz="4" w:space="0" w:color="auto"/>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 xml:space="preserve">Sij.-Ruj. </w:t>
            </w:r>
            <w:r w:rsidRPr="00074E6A">
              <w:rPr>
                <w:rFonts w:ascii="Tele-GroteskEEHal" w:hAnsi="Tele-GroteskEEHal"/>
                <w:b/>
                <w:bCs/>
                <w:color w:val="FFFFFF"/>
                <w:kern w:val="0"/>
                <w:sz w:val="22"/>
                <w:szCs w:val="22"/>
                <w:lang w:val="hr-HR" w:eastAsia="hr-HR"/>
              </w:rPr>
              <w:br/>
              <w:t>2011.</w:t>
            </w:r>
          </w:p>
        </w:tc>
        <w:tc>
          <w:tcPr>
            <w:tcW w:w="1300" w:type="dxa"/>
            <w:tcBorders>
              <w:top w:val="single" w:sz="4" w:space="0" w:color="auto"/>
              <w:left w:val="nil"/>
              <w:bottom w:val="single" w:sz="4" w:space="0" w:color="auto"/>
              <w:right w:val="nil"/>
            </w:tcBorders>
            <w:shd w:val="clear" w:color="auto" w:fill="E20074"/>
            <w:vAlign w:val="center"/>
          </w:tcPr>
          <w:p w:rsidR="003E4626" w:rsidRPr="00074E6A" w:rsidRDefault="003E4626" w:rsidP="00074E6A">
            <w:pPr>
              <w:suppressAutoHyphens w:val="0"/>
              <w:jc w:val="right"/>
              <w:rPr>
                <w:rFonts w:ascii="Tele-GroteskEEHal" w:hAnsi="Tele-GroteskEEHal"/>
                <w:b/>
                <w:bCs/>
                <w:color w:val="FFFFFF"/>
                <w:kern w:val="0"/>
                <w:lang w:val="hr-HR" w:eastAsia="hr-HR"/>
              </w:rPr>
            </w:pPr>
            <w:r w:rsidRPr="00074E6A">
              <w:rPr>
                <w:rFonts w:ascii="Tele-GroteskEEHal" w:hAnsi="Tele-GroteskEEHal"/>
                <w:b/>
                <w:bCs/>
                <w:color w:val="FFFFFF"/>
                <w:kern w:val="0"/>
                <w:sz w:val="22"/>
                <w:szCs w:val="22"/>
                <w:lang w:val="hr-HR" w:eastAsia="hr-HR"/>
              </w:rPr>
              <w:t xml:space="preserve">Sij.-Ruj. </w:t>
            </w:r>
            <w:r w:rsidRPr="00074E6A">
              <w:rPr>
                <w:rFonts w:ascii="Tele-GroteskEEHal" w:hAnsi="Tele-GroteskEEHal"/>
                <w:b/>
                <w:bCs/>
                <w:color w:val="FFFFFF"/>
                <w:kern w:val="0"/>
                <w:sz w:val="22"/>
                <w:szCs w:val="22"/>
                <w:lang w:val="hr-HR" w:eastAsia="hr-HR"/>
              </w:rPr>
              <w:br/>
              <w:t>2010.</w:t>
            </w:r>
          </w:p>
        </w:tc>
        <w:tc>
          <w:tcPr>
            <w:tcW w:w="1600" w:type="dxa"/>
            <w:tcBorders>
              <w:top w:val="single" w:sz="4" w:space="0" w:color="auto"/>
              <w:left w:val="nil"/>
              <w:bottom w:val="single" w:sz="4" w:space="0" w:color="auto"/>
              <w:right w:val="nil"/>
            </w:tcBorders>
            <w:shd w:val="clear" w:color="auto" w:fill="E20074"/>
            <w:vAlign w:val="center"/>
          </w:tcPr>
          <w:p w:rsidR="003E4626" w:rsidRPr="00074E6A" w:rsidRDefault="003E4626" w:rsidP="00074E6A">
            <w:pPr>
              <w:suppressAutoHyphens w:val="0"/>
              <w:jc w:val="right"/>
              <w:rPr>
                <w:rFonts w:ascii="Tele-GroteskEEHal" w:hAnsi="Tele-GroteskEEHal"/>
                <w:b/>
                <w:bCs/>
                <w:i/>
                <w:iCs/>
                <w:color w:val="FFFFFF"/>
                <w:kern w:val="0"/>
                <w:lang w:val="hr-HR" w:eastAsia="hr-HR"/>
              </w:rPr>
            </w:pPr>
            <w:r w:rsidRPr="00074E6A">
              <w:rPr>
                <w:rFonts w:ascii="Tele-GroteskEEHal" w:hAnsi="Tele-GroteskEEHal"/>
                <w:b/>
                <w:bCs/>
                <w:i/>
                <w:iCs/>
                <w:color w:val="FFFFFF"/>
                <w:kern w:val="0"/>
                <w:sz w:val="22"/>
                <w:szCs w:val="22"/>
                <w:lang w:val="hr-HR" w:eastAsia="hr-HR"/>
              </w:rPr>
              <w:t xml:space="preserve">% promjene </w:t>
            </w:r>
            <w:r w:rsidRPr="00074E6A">
              <w:rPr>
                <w:rFonts w:ascii="Tele-GroteskEEHal" w:hAnsi="Tele-GroteskEEHal"/>
                <w:b/>
                <w:bCs/>
                <w:i/>
                <w:iCs/>
                <w:color w:val="FFFFFF"/>
                <w:kern w:val="0"/>
                <w:sz w:val="22"/>
                <w:szCs w:val="22"/>
                <w:lang w:val="hr-HR" w:eastAsia="hr-HR"/>
              </w:rPr>
              <w:br/>
              <w:t>11/10</w:t>
            </w:r>
          </w:p>
        </w:tc>
      </w:tr>
      <w:tr w:rsidR="003E4626" w:rsidRPr="00074E6A" w:rsidTr="0018575D">
        <w:trPr>
          <w:gridAfter w:val="1"/>
          <w:wAfter w:w="260" w:type="dxa"/>
          <w:trHeight w:val="300"/>
        </w:trPr>
        <w:tc>
          <w:tcPr>
            <w:tcW w:w="4420" w:type="dxa"/>
            <w:tcBorders>
              <w:top w:val="nil"/>
              <w:left w:val="nil"/>
              <w:bottom w:val="single" w:sz="4" w:space="0" w:color="auto"/>
              <w:right w:val="nil"/>
            </w:tcBorders>
            <w:shd w:val="clear" w:color="auto" w:fill="EAEAEA"/>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Mobilni Pretplatnici u 000</w:t>
            </w:r>
          </w:p>
        </w:tc>
        <w:tc>
          <w:tcPr>
            <w:tcW w:w="1300" w:type="dxa"/>
            <w:tcBorders>
              <w:top w:val="nil"/>
              <w:left w:val="nil"/>
              <w:bottom w:val="single" w:sz="4" w:space="0" w:color="auto"/>
              <w:right w:val="nil"/>
            </w:tcBorders>
            <w:shd w:val="clear" w:color="auto" w:fill="EAEAEA"/>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 </w:t>
            </w:r>
          </w:p>
        </w:tc>
        <w:tc>
          <w:tcPr>
            <w:tcW w:w="1300" w:type="dxa"/>
            <w:tcBorders>
              <w:top w:val="nil"/>
              <w:left w:val="nil"/>
              <w:bottom w:val="single" w:sz="4" w:space="0" w:color="auto"/>
              <w:right w:val="nil"/>
            </w:tcBorders>
            <w:shd w:val="clear" w:color="auto" w:fill="EAEAEA"/>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 </w:t>
            </w:r>
          </w:p>
        </w:tc>
        <w:tc>
          <w:tcPr>
            <w:tcW w:w="1600" w:type="dxa"/>
            <w:tcBorders>
              <w:top w:val="nil"/>
              <w:left w:val="nil"/>
              <w:bottom w:val="single" w:sz="4" w:space="0" w:color="auto"/>
              <w:right w:val="nil"/>
            </w:tcBorders>
            <w:shd w:val="clear" w:color="auto" w:fill="EAEAEA"/>
            <w:noWrap/>
            <w:vAlign w:val="center"/>
          </w:tcPr>
          <w:p w:rsidR="003E4626" w:rsidRPr="00074E6A" w:rsidRDefault="003E4626" w:rsidP="00074E6A">
            <w:pPr>
              <w:suppressAutoHyphens w:val="0"/>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 </w:t>
            </w:r>
          </w:p>
        </w:tc>
      </w:tr>
      <w:tr w:rsidR="003E4626" w:rsidRPr="00074E6A" w:rsidTr="0018575D">
        <w:trPr>
          <w:gridAfter w:val="1"/>
          <w:wAfter w:w="260" w:type="dxa"/>
          <w:trHeight w:val="300"/>
        </w:trPr>
        <w:tc>
          <w:tcPr>
            <w:tcW w:w="4420" w:type="dxa"/>
            <w:tcBorders>
              <w:top w:val="nil"/>
              <w:left w:val="nil"/>
              <w:bottom w:val="single" w:sz="4" w:space="0" w:color="auto"/>
              <w:right w:val="nil"/>
            </w:tcBorders>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Broj pretplatnika</w:t>
            </w:r>
            <w:r>
              <w:rPr>
                <w:rFonts w:ascii="Tele-GroteskEEHal" w:hAnsi="Tele-GroteskEEHal"/>
                <w:b/>
                <w:bCs/>
                <w:kern w:val="0"/>
                <w:sz w:val="22"/>
                <w:szCs w:val="22"/>
                <w:vertAlign w:val="superscript"/>
                <w:lang w:val="hr-HR" w:eastAsia="hr-HR"/>
              </w:rPr>
              <w:t>3)</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2.485</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2.393</w:t>
            </w:r>
          </w:p>
        </w:tc>
        <w:tc>
          <w:tcPr>
            <w:tcW w:w="16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3,8%</w:t>
            </w:r>
          </w:p>
        </w:tc>
      </w:tr>
      <w:tr w:rsidR="003E4626" w:rsidRPr="00074E6A" w:rsidTr="0018575D">
        <w:trPr>
          <w:gridAfter w:val="1"/>
          <w:wAfter w:w="260" w:type="dxa"/>
          <w:trHeight w:val="300"/>
        </w:trPr>
        <w:tc>
          <w:tcPr>
            <w:tcW w:w="4420"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color w:val="000000"/>
                <w:kern w:val="0"/>
                <w:lang w:val="hr-HR" w:eastAsia="hr-HR"/>
              </w:rPr>
            </w:pPr>
            <w:r w:rsidRPr="00074E6A">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2.031</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1.964</w:t>
            </w:r>
          </w:p>
        </w:tc>
        <w:tc>
          <w:tcPr>
            <w:tcW w:w="16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3,5%</w:t>
            </w:r>
          </w:p>
        </w:tc>
      </w:tr>
      <w:tr w:rsidR="003E4626" w:rsidRPr="00074E6A" w:rsidTr="0018575D">
        <w:trPr>
          <w:gridAfter w:val="1"/>
          <w:wAfter w:w="260" w:type="dxa"/>
          <w:trHeight w:val="300"/>
        </w:trPr>
        <w:tc>
          <w:tcPr>
            <w:tcW w:w="4420"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color w:val="000000"/>
                <w:kern w:val="0"/>
                <w:lang w:val="hr-HR" w:eastAsia="hr-HR"/>
              </w:rPr>
            </w:pPr>
            <w:r w:rsidRPr="00074E6A">
              <w:rPr>
                <w:rFonts w:ascii="Tele-GroteskEEHal" w:hAnsi="Tele-GroteskEEHal"/>
                <w:color w:val="000000"/>
                <w:kern w:val="0"/>
                <w:sz w:val="22"/>
                <w:szCs w:val="22"/>
                <w:lang w:val="hr-HR" w:eastAsia="hr-HR"/>
              </w:rPr>
              <w:t xml:space="preserve"> - Poslovni</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454</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430</w:t>
            </w:r>
          </w:p>
        </w:tc>
        <w:tc>
          <w:tcPr>
            <w:tcW w:w="16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5,6%</w:t>
            </w:r>
          </w:p>
        </w:tc>
      </w:tr>
      <w:tr w:rsidR="003E4626" w:rsidRPr="00074E6A" w:rsidTr="0018575D">
        <w:trPr>
          <w:gridAfter w:val="1"/>
          <w:wAfter w:w="260" w:type="dxa"/>
          <w:trHeight w:val="300"/>
        </w:trPr>
        <w:tc>
          <w:tcPr>
            <w:tcW w:w="442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Broj postpaid korisnika</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1.037</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984</w:t>
            </w:r>
          </w:p>
        </w:tc>
        <w:tc>
          <w:tcPr>
            <w:tcW w:w="16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5,4%</w:t>
            </w:r>
          </w:p>
        </w:tc>
      </w:tr>
      <w:tr w:rsidR="003E4626" w:rsidRPr="00074E6A" w:rsidTr="0018575D">
        <w:trPr>
          <w:gridAfter w:val="1"/>
          <w:wAfter w:w="260" w:type="dxa"/>
          <w:trHeight w:val="345"/>
        </w:trPr>
        <w:tc>
          <w:tcPr>
            <w:tcW w:w="442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Broj prepaid korisnika</w:t>
            </w:r>
            <w:r w:rsidRPr="00074E6A">
              <w:rPr>
                <w:rFonts w:ascii="Tele-GroteskEEHal" w:hAnsi="Tele-GroteskEEHal"/>
                <w:b/>
                <w:bCs/>
                <w:kern w:val="0"/>
                <w:sz w:val="22"/>
                <w:szCs w:val="22"/>
                <w:vertAlign w:val="superscript"/>
                <w:lang w:val="hr-HR" w:eastAsia="hr-HR"/>
              </w:rPr>
              <w:t>3)</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1.448</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1.409</w:t>
            </w:r>
          </w:p>
        </w:tc>
        <w:tc>
          <w:tcPr>
            <w:tcW w:w="16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2,7%</w:t>
            </w:r>
          </w:p>
        </w:tc>
      </w:tr>
      <w:tr w:rsidR="003E4626" w:rsidRPr="00074E6A" w:rsidTr="0018575D">
        <w:trPr>
          <w:gridAfter w:val="1"/>
          <w:wAfter w:w="260" w:type="dxa"/>
          <w:trHeight w:val="630"/>
        </w:trPr>
        <w:tc>
          <w:tcPr>
            <w:tcW w:w="4420" w:type="dxa"/>
            <w:tcBorders>
              <w:top w:val="single" w:sz="4" w:space="0" w:color="auto"/>
              <w:left w:val="nil"/>
              <w:bottom w:val="single" w:sz="4" w:space="0" w:color="auto"/>
              <w:right w:val="nil"/>
            </w:tcBorders>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Minute korištenja (MOU) po prosječnom korisniku</w:t>
            </w:r>
            <w:r>
              <w:rPr>
                <w:rFonts w:ascii="Tele-GroteskEEHal" w:hAnsi="Tele-GroteskEEHal"/>
                <w:b/>
                <w:bCs/>
                <w:kern w:val="0"/>
                <w:sz w:val="22"/>
                <w:szCs w:val="22"/>
                <w:vertAlign w:val="superscript"/>
                <w:lang w:val="hr-HR" w:eastAsia="hr-HR"/>
              </w:rPr>
              <w:t>3)</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134</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133</w:t>
            </w:r>
          </w:p>
        </w:tc>
        <w:tc>
          <w:tcPr>
            <w:tcW w:w="16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0,7%</w:t>
            </w:r>
          </w:p>
        </w:tc>
      </w:tr>
      <w:tr w:rsidR="003E4626" w:rsidRPr="00074E6A" w:rsidTr="0018575D">
        <w:trPr>
          <w:gridAfter w:val="1"/>
          <w:wAfter w:w="260" w:type="dxa"/>
          <w:trHeight w:val="300"/>
        </w:trPr>
        <w:tc>
          <w:tcPr>
            <w:tcW w:w="4420"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color w:val="000000"/>
                <w:kern w:val="0"/>
                <w:lang w:val="hr-HR" w:eastAsia="hr-HR"/>
              </w:rPr>
            </w:pPr>
            <w:r w:rsidRPr="00074E6A">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100</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97</w:t>
            </w:r>
          </w:p>
        </w:tc>
        <w:tc>
          <w:tcPr>
            <w:tcW w:w="16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3,4%</w:t>
            </w:r>
          </w:p>
        </w:tc>
      </w:tr>
      <w:tr w:rsidR="003E4626" w:rsidRPr="00074E6A" w:rsidTr="0018575D">
        <w:trPr>
          <w:gridAfter w:val="1"/>
          <w:wAfter w:w="260" w:type="dxa"/>
          <w:trHeight w:val="300"/>
        </w:trPr>
        <w:tc>
          <w:tcPr>
            <w:tcW w:w="4420" w:type="dxa"/>
            <w:tcBorders>
              <w:top w:val="nil"/>
              <w:left w:val="nil"/>
              <w:bottom w:val="nil"/>
              <w:right w:val="nil"/>
            </w:tcBorders>
            <w:noWrap/>
            <w:vAlign w:val="center"/>
          </w:tcPr>
          <w:p w:rsidR="003E4626" w:rsidRPr="00074E6A" w:rsidRDefault="003E4626" w:rsidP="00074E6A">
            <w:pPr>
              <w:suppressAutoHyphens w:val="0"/>
              <w:rPr>
                <w:rFonts w:ascii="Tele-GroteskEEHal" w:hAnsi="Tele-GroteskEEHal"/>
                <w:color w:val="000000"/>
                <w:kern w:val="0"/>
                <w:lang w:val="hr-HR" w:eastAsia="hr-HR"/>
              </w:rPr>
            </w:pPr>
            <w:r w:rsidRPr="00074E6A">
              <w:rPr>
                <w:rFonts w:ascii="Tele-GroteskEEHal" w:hAnsi="Tele-GroteskEEHal"/>
                <w:color w:val="000000"/>
                <w:kern w:val="0"/>
                <w:sz w:val="22"/>
                <w:szCs w:val="22"/>
                <w:lang w:val="hr-HR" w:eastAsia="hr-HR"/>
              </w:rPr>
              <w:t xml:space="preserve"> - Poslovni</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288</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301</w:t>
            </w:r>
          </w:p>
        </w:tc>
        <w:tc>
          <w:tcPr>
            <w:tcW w:w="16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-4,2%</w:t>
            </w:r>
          </w:p>
        </w:tc>
      </w:tr>
      <w:tr w:rsidR="003E4626" w:rsidRPr="00074E6A" w:rsidTr="0018575D">
        <w:trPr>
          <w:gridAfter w:val="1"/>
          <w:wAfter w:w="260" w:type="dxa"/>
          <w:trHeight w:val="645"/>
        </w:trPr>
        <w:tc>
          <w:tcPr>
            <w:tcW w:w="4420" w:type="dxa"/>
            <w:tcBorders>
              <w:top w:val="single" w:sz="4" w:space="0" w:color="auto"/>
              <w:left w:val="nil"/>
              <w:bottom w:val="single" w:sz="4" w:space="0" w:color="auto"/>
              <w:right w:val="nil"/>
            </w:tcBorders>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Prosječni ARPU</w:t>
            </w:r>
            <w:r w:rsidRPr="00074E6A">
              <w:rPr>
                <w:rFonts w:ascii="Tele-GroteskEEHal" w:hAnsi="Tele-GroteskEEHal"/>
                <w:b/>
                <w:bCs/>
                <w:kern w:val="0"/>
                <w:sz w:val="22"/>
                <w:szCs w:val="22"/>
                <w:lang w:val="hr-HR" w:eastAsia="hr-HR"/>
              </w:rPr>
              <w:br/>
              <w:t xml:space="preserve">(mjesečni prosjek za period u HRK) </w:t>
            </w:r>
            <w:r w:rsidRPr="00074E6A">
              <w:rPr>
                <w:rFonts w:ascii="Tele-GroteskEEHal" w:hAnsi="Tele-GroteskEEHal"/>
                <w:b/>
                <w:bCs/>
                <w:kern w:val="0"/>
                <w:sz w:val="22"/>
                <w:szCs w:val="22"/>
                <w:vertAlign w:val="superscript"/>
                <w:lang w:val="hr-HR" w:eastAsia="hr-HR"/>
              </w:rPr>
              <w:t>2)</w:t>
            </w:r>
            <w:r>
              <w:rPr>
                <w:rFonts w:ascii="Tele-GroteskEEHal" w:hAnsi="Tele-GroteskEEHal"/>
                <w:b/>
                <w:bCs/>
                <w:kern w:val="0"/>
                <w:sz w:val="22"/>
                <w:szCs w:val="22"/>
                <w:vertAlign w:val="superscript"/>
                <w:lang w:val="hr-HR" w:eastAsia="hr-HR"/>
              </w:rPr>
              <w:t xml:space="preserve"> 3)</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94</w:t>
            </w:r>
          </w:p>
        </w:tc>
        <w:tc>
          <w:tcPr>
            <w:tcW w:w="13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106</w:t>
            </w:r>
          </w:p>
        </w:tc>
        <w:tc>
          <w:tcPr>
            <w:tcW w:w="16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-11,9%</w:t>
            </w:r>
          </w:p>
        </w:tc>
      </w:tr>
      <w:tr w:rsidR="003E4626" w:rsidRPr="00074E6A" w:rsidTr="0018575D">
        <w:trPr>
          <w:gridAfter w:val="1"/>
          <w:wAfter w:w="260" w:type="dxa"/>
          <w:trHeight w:val="300"/>
        </w:trPr>
        <w:tc>
          <w:tcPr>
            <w:tcW w:w="4420" w:type="dxa"/>
            <w:tcBorders>
              <w:top w:val="nil"/>
              <w:left w:val="nil"/>
              <w:bottom w:val="nil"/>
              <w:right w:val="nil"/>
            </w:tcBorders>
            <w:vAlign w:val="center"/>
          </w:tcPr>
          <w:p w:rsidR="003E4626" w:rsidRPr="00074E6A" w:rsidRDefault="003E4626" w:rsidP="00074E6A">
            <w:pPr>
              <w:suppressAutoHyphens w:val="0"/>
              <w:rPr>
                <w:rFonts w:ascii="Tele-GroteskEEHal" w:hAnsi="Tele-GroteskEEHal"/>
                <w:color w:val="000000"/>
                <w:kern w:val="0"/>
                <w:lang w:val="hr-HR" w:eastAsia="hr-HR"/>
              </w:rPr>
            </w:pPr>
            <w:r w:rsidRPr="00074E6A">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73</w:t>
            </w:r>
          </w:p>
        </w:tc>
        <w:tc>
          <w:tcPr>
            <w:tcW w:w="13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85</w:t>
            </w:r>
          </w:p>
        </w:tc>
        <w:tc>
          <w:tcPr>
            <w:tcW w:w="16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-13,5%</w:t>
            </w:r>
          </w:p>
        </w:tc>
      </w:tr>
      <w:tr w:rsidR="003E4626" w:rsidRPr="00074E6A" w:rsidTr="0018575D">
        <w:trPr>
          <w:gridAfter w:val="1"/>
          <w:wAfter w:w="260" w:type="dxa"/>
          <w:trHeight w:val="300"/>
        </w:trPr>
        <w:tc>
          <w:tcPr>
            <w:tcW w:w="4420" w:type="dxa"/>
            <w:tcBorders>
              <w:top w:val="nil"/>
              <w:left w:val="nil"/>
              <w:bottom w:val="single" w:sz="4" w:space="0" w:color="auto"/>
              <w:right w:val="nil"/>
            </w:tcBorders>
            <w:vAlign w:val="center"/>
          </w:tcPr>
          <w:p w:rsidR="003E4626" w:rsidRPr="00074E6A" w:rsidRDefault="003E4626" w:rsidP="00074E6A">
            <w:pPr>
              <w:suppressAutoHyphens w:val="0"/>
              <w:rPr>
                <w:rFonts w:ascii="Tele-GroteskEEHal" w:hAnsi="Tele-GroteskEEHal"/>
                <w:color w:val="000000"/>
                <w:kern w:val="0"/>
                <w:lang w:val="hr-HR" w:eastAsia="hr-HR"/>
              </w:rPr>
            </w:pPr>
            <w:r w:rsidRPr="00074E6A">
              <w:rPr>
                <w:rFonts w:ascii="Tele-GroteskEEHal" w:hAnsi="Tele-GroteskEEHal"/>
                <w:color w:val="000000"/>
                <w:kern w:val="0"/>
                <w:sz w:val="22"/>
                <w:szCs w:val="22"/>
                <w:lang w:val="hr-HR" w:eastAsia="hr-HR"/>
              </w:rPr>
              <w:t xml:space="preserve"> - Poslovni</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184</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204</w:t>
            </w:r>
          </w:p>
        </w:tc>
        <w:tc>
          <w:tcPr>
            <w:tcW w:w="1600" w:type="dxa"/>
            <w:tcBorders>
              <w:top w:val="nil"/>
              <w:left w:val="nil"/>
              <w:bottom w:val="nil"/>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-9,6%</w:t>
            </w:r>
          </w:p>
        </w:tc>
      </w:tr>
      <w:tr w:rsidR="003E4626" w:rsidRPr="00074E6A" w:rsidTr="0018575D">
        <w:trPr>
          <w:gridAfter w:val="1"/>
          <w:wAfter w:w="260" w:type="dxa"/>
          <w:trHeight w:val="645"/>
        </w:trPr>
        <w:tc>
          <w:tcPr>
            <w:tcW w:w="4420" w:type="dxa"/>
            <w:tcBorders>
              <w:top w:val="nil"/>
              <w:left w:val="nil"/>
              <w:bottom w:val="single" w:sz="4" w:space="0" w:color="auto"/>
              <w:right w:val="nil"/>
            </w:tcBorders>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ARPU izuzimajući govorne usluge</w:t>
            </w:r>
            <w:r w:rsidRPr="00074E6A">
              <w:rPr>
                <w:rFonts w:ascii="Tele-GroteskEEHal" w:hAnsi="Tele-GroteskEEHal"/>
                <w:b/>
                <w:bCs/>
                <w:kern w:val="0"/>
                <w:sz w:val="22"/>
                <w:szCs w:val="22"/>
                <w:lang w:val="hr-HR" w:eastAsia="hr-HR"/>
              </w:rPr>
              <w:br/>
              <w:t xml:space="preserve">(mjesečni prosjek za period u HRK) </w:t>
            </w:r>
            <w:r w:rsidRPr="00074E6A">
              <w:rPr>
                <w:rFonts w:ascii="Tele-GroteskEEHal" w:hAnsi="Tele-GroteskEEHal"/>
                <w:b/>
                <w:bCs/>
                <w:kern w:val="0"/>
                <w:sz w:val="22"/>
                <w:szCs w:val="22"/>
                <w:vertAlign w:val="superscript"/>
                <w:lang w:val="hr-HR" w:eastAsia="hr-HR"/>
              </w:rPr>
              <w:t>2)</w:t>
            </w:r>
            <w:r>
              <w:rPr>
                <w:rFonts w:ascii="Tele-GroteskEEHal" w:hAnsi="Tele-GroteskEEHal"/>
                <w:b/>
                <w:bCs/>
                <w:kern w:val="0"/>
                <w:sz w:val="22"/>
                <w:szCs w:val="22"/>
                <w:vertAlign w:val="superscript"/>
                <w:lang w:val="hr-HR" w:eastAsia="hr-HR"/>
              </w:rPr>
              <w:t>3)</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23</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25</w:t>
            </w:r>
          </w:p>
        </w:tc>
        <w:tc>
          <w:tcPr>
            <w:tcW w:w="1600" w:type="dxa"/>
            <w:tcBorders>
              <w:top w:val="single" w:sz="4" w:space="0" w:color="auto"/>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-5,7%</w:t>
            </w:r>
          </w:p>
        </w:tc>
      </w:tr>
      <w:tr w:rsidR="003E4626" w:rsidRPr="00074E6A" w:rsidTr="0018575D">
        <w:trPr>
          <w:gridAfter w:val="1"/>
          <w:wAfter w:w="260" w:type="dxa"/>
          <w:trHeight w:val="300"/>
        </w:trPr>
        <w:tc>
          <w:tcPr>
            <w:tcW w:w="4420" w:type="dxa"/>
            <w:tcBorders>
              <w:top w:val="nil"/>
              <w:left w:val="nil"/>
              <w:bottom w:val="single" w:sz="4" w:space="0" w:color="auto"/>
              <w:right w:val="nil"/>
            </w:tcBorders>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SAC po bruto broju novih korisnika</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135</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kern w:val="0"/>
                <w:lang w:val="hr-HR" w:eastAsia="hr-HR"/>
              </w:rPr>
            </w:pPr>
            <w:r w:rsidRPr="00074E6A">
              <w:rPr>
                <w:rFonts w:ascii="Tele-GroteskEEHal" w:hAnsi="Tele-GroteskEEHal"/>
                <w:b/>
                <w:bCs/>
                <w:kern w:val="0"/>
                <w:sz w:val="22"/>
                <w:szCs w:val="22"/>
                <w:lang w:val="hr-HR" w:eastAsia="hr-HR"/>
              </w:rPr>
              <w:t>188</w:t>
            </w:r>
          </w:p>
        </w:tc>
        <w:tc>
          <w:tcPr>
            <w:tcW w:w="16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b/>
                <w:bCs/>
                <w:i/>
                <w:iCs/>
                <w:kern w:val="0"/>
                <w:lang w:val="hr-HR" w:eastAsia="hr-HR"/>
              </w:rPr>
            </w:pPr>
            <w:r w:rsidRPr="00074E6A">
              <w:rPr>
                <w:rFonts w:ascii="Tele-GroteskEEHal" w:hAnsi="Tele-GroteskEEHal"/>
                <w:b/>
                <w:bCs/>
                <w:i/>
                <w:iCs/>
                <w:kern w:val="0"/>
                <w:sz w:val="22"/>
                <w:szCs w:val="22"/>
                <w:lang w:val="hr-HR" w:eastAsia="hr-HR"/>
              </w:rPr>
              <w:t>-28,0%</w:t>
            </w:r>
          </w:p>
        </w:tc>
      </w:tr>
      <w:tr w:rsidR="003E4626" w:rsidRPr="00074E6A" w:rsidTr="0018575D">
        <w:trPr>
          <w:gridAfter w:val="1"/>
          <w:wAfter w:w="260" w:type="dxa"/>
          <w:trHeight w:val="300"/>
        </w:trPr>
        <w:tc>
          <w:tcPr>
            <w:tcW w:w="4420" w:type="dxa"/>
            <w:tcBorders>
              <w:top w:val="nil"/>
              <w:left w:val="nil"/>
              <w:bottom w:val="single" w:sz="4" w:space="0" w:color="auto"/>
              <w:right w:val="nil"/>
            </w:tcBorders>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Stopa odljeva pretplatnika (%)</w:t>
            </w:r>
            <w:r>
              <w:rPr>
                <w:rFonts w:ascii="Tele-GroteskEEHal" w:hAnsi="Tele-GroteskEEHal"/>
                <w:b/>
                <w:bCs/>
                <w:kern w:val="0"/>
                <w:sz w:val="22"/>
                <w:szCs w:val="22"/>
                <w:vertAlign w:val="superscript"/>
                <w:lang w:val="hr-HR" w:eastAsia="hr-HR"/>
              </w:rPr>
              <w:t>3)</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2,5</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2,3</w:t>
            </w:r>
          </w:p>
        </w:tc>
        <w:tc>
          <w:tcPr>
            <w:tcW w:w="16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0,2 p.p.</w:t>
            </w:r>
          </w:p>
        </w:tc>
      </w:tr>
      <w:tr w:rsidR="003E4626" w:rsidRPr="00074E6A" w:rsidTr="0018575D">
        <w:trPr>
          <w:gridAfter w:val="1"/>
          <w:wAfter w:w="260" w:type="dxa"/>
          <w:trHeight w:val="345"/>
        </w:trPr>
        <w:tc>
          <w:tcPr>
            <w:tcW w:w="4420" w:type="dxa"/>
            <w:tcBorders>
              <w:top w:val="nil"/>
              <w:left w:val="nil"/>
              <w:bottom w:val="single" w:sz="4" w:space="0" w:color="auto"/>
              <w:right w:val="nil"/>
            </w:tcBorders>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Penetracija (%)</w:t>
            </w:r>
            <w:r w:rsidRPr="00074E6A">
              <w:rPr>
                <w:rFonts w:ascii="Tele-GroteskEEHal" w:hAnsi="Tele-GroteskEEHal"/>
                <w:b/>
                <w:bCs/>
                <w:kern w:val="0"/>
                <w:sz w:val="22"/>
                <w:szCs w:val="22"/>
                <w:vertAlign w:val="superscript"/>
                <w:lang w:val="hr-HR" w:eastAsia="hr-HR"/>
              </w:rPr>
              <w:t>1)</w:t>
            </w:r>
            <w:r>
              <w:rPr>
                <w:rFonts w:ascii="Tele-GroteskEEHal" w:hAnsi="Tele-GroteskEEHal"/>
                <w:b/>
                <w:bCs/>
                <w:kern w:val="0"/>
                <w:sz w:val="22"/>
                <w:szCs w:val="22"/>
                <w:vertAlign w:val="superscript"/>
                <w:lang w:val="hr-HR" w:eastAsia="hr-HR"/>
              </w:rPr>
              <w:t xml:space="preserve"> 3)</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128,8</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119,0</w:t>
            </w:r>
          </w:p>
        </w:tc>
        <w:tc>
          <w:tcPr>
            <w:tcW w:w="16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9,9 p.p.</w:t>
            </w:r>
          </w:p>
        </w:tc>
      </w:tr>
      <w:tr w:rsidR="003E4626" w:rsidRPr="00074E6A" w:rsidTr="0018575D">
        <w:trPr>
          <w:gridAfter w:val="1"/>
          <w:wAfter w:w="260" w:type="dxa"/>
          <w:trHeight w:val="375"/>
        </w:trPr>
        <w:tc>
          <w:tcPr>
            <w:tcW w:w="4420" w:type="dxa"/>
            <w:tcBorders>
              <w:top w:val="nil"/>
              <w:left w:val="nil"/>
              <w:bottom w:val="single" w:sz="4" w:space="0" w:color="auto"/>
              <w:right w:val="nil"/>
            </w:tcBorders>
            <w:vAlign w:val="center"/>
          </w:tcPr>
          <w:p w:rsidR="003E4626" w:rsidRPr="00074E6A" w:rsidRDefault="003E4626" w:rsidP="00074E6A">
            <w:pPr>
              <w:suppressAutoHyphens w:val="0"/>
              <w:rPr>
                <w:rFonts w:ascii="Tele-GroteskEEHal" w:hAnsi="Tele-GroteskEEHal"/>
                <w:b/>
                <w:bCs/>
                <w:kern w:val="0"/>
                <w:lang w:val="hr-HR" w:eastAsia="hr-HR"/>
              </w:rPr>
            </w:pPr>
            <w:r w:rsidRPr="00074E6A">
              <w:rPr>
                <w:rFonts w:ascii="Tele-GroteskEEHal" w:hAnsi="Tele-GroteskEEHal"/>
                <w:b/>
                <w:bCs/>
                <w:kern w:val="0"/>
                <w:sz w:val="22"/>
                <w:szCs w:val="22"/>
                <w:lang w:val="hr-HR" w:eastAsia="hr-HR"/>
              </w:rPr>
              <w:t>Tržišni udio pretplatnika (%)</w:t>
            </w:r>
            <w:r w:rsidRPr="00074E6A">
              <w:rPr>
                <w:rFonts w:ascii="Tele-GroteskEEHal" w:hAnsi="Tele-GroteskEEHal"/>
                <w:b/>
                <w:bCs/>
                <w:kern w:val="0"/>
                <w:sz w:val="22"/>
                <w:szCs w:val="22"/>
                <w:vertAlign w:val="superscript"/>
                <w:lang w:val="hr-HR" w:eastAsia="hr-HR"/>
              </w:rPr>
              <w:t>1)</w:t>
            </w:r>
            <w:r>
              <w:rPr>
                <w:rFonts w:ascii="Tele-GroteskEEHal" w:hAnsi="Tele-GroteskEEHal"/>
                <w:b/>
                <w:bCs/>
                <w:kern w:val="0"/>
                <w:sz w:val="22"/>
                <w:szCs w:val="22"/>
                <w:vertAlign w:val="superscript"/>
                <w:lang w:val="hr-HR" w:eastAsia="hr-HR"/>
              </w:rPr>
              <w:t xml:space="preserve"> 3)</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45,0</w:t>
            </w:r>
          </w:p>
        </w:tc>
        <w:tc>
          <w:tcPr>
            <w:tcW w:w="13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kern w:val="0"/>
                <w:lang w:val="hr-HR" w:eastAsia="hr-HR"/>
              </w:rPr>
            </w:pPr>
            <w:r w:rsidRPr="00074E6A">
              <w:rPr>
                <w:rFonts w:ascii="Tele-GroteskEEHal" w:hAnsi="Tele-GroteskEEHal"/>
                <w:kern w:val="0"/>
                <w:sz w:val="22"/>
                <w:szCs w:val="22"/>
                <w:lang w:val="hr-HR" w:eastAsia="hr-HR"/>
              </w:rPr>
              <w:t>45,4</w:t>
            </w:r>
          </w:p>
        </w:tc>
        <w:tc>
          <w:tcPr>
            <w:tcW w:w="1600" w:type="dxa"/>
            <w:tcBorders>
              <w:top w:val="nil"/>
              <w:left w:val="nil"/>
              <w:bottom w:val="single" w:sz="4" w:space="0" w:color="auto"/>
              <w:right w:val="nil"/>
            </w:tcBorders>
            <w:noWrap/>
            <w:vAlign w:val="center"/>
          </w:tcPr>
          <w:p w:rsidR="003E4626" w:rsidRPr="00074E6A" w:rsidRDefault="003E4626" w:rsidP="00074E6A">
            <w:pPr>
              <w:suppressAutoHyphens w:val="0"/>
              <w:jc w:val="right"/>
              <w:rPr>
                <w:rFonts w:ascii="Tele-GroteskEEHal" w:hAnsi="Tele-GroteskEEHal"/>
                <w:i/>
                <w:iCs/>
                <w:kern w:val="0"/>
                <w:lang w:val="hr-HR" w:eastAsia="hr-HR"/>
              </w:rPr>
            </w:pPr>
            <w:r w:rsidRPr="00074E6A">
              <w:rPr>
                <w:rFonts w:ascii="Tele-GroteskEEHal" w:hAnsi="Tele-GroteskEEHal"/>
                <w:i/>
                <w:iCs/>
                <w:kern w:val="0"/>
                <w:sz w:val="22"/>
                <w:szCs w:val="22"/>
                <w:lang w:val="hr-HR" w:eastAsia="hr-HR"/>
              </w:rPr>
              <w:t>-0,5 p.p.</w:t>
            </w:r>
          </w:p>
        </w:tc>
      </w:tr>
      <w:tr w:rsidR="003E4626" w:rsidRPr="00960D6B" w:rsidTr="0018575D">
        <w:trPr>
          <w:trHeight w:val="300"/>
        </w:trPr>
        <w:tc>
          <w:tcPr>
            <w:tcW w:w="8880" w:type="dxa"/>
            <w:gridSpan w:val="5"/>
            <w:tcBorders>
              <w:top w:val="nil"/>
              <w:left w:val="nil"/>
              <w:bottom w:val="nil"/>
              <w:right w:val="nil"/>
            </w:tcBorders>
            <w:shd w:val="clear" w:color="auto" w:fill="FFFFFF"/>
            <w:noWrap/>
            <w:vAlign w:val="center"/>
          </w:tcPr>
          <w:p w:rsidR="003E4626" w:rsidRPr="00960D6B" w:rsidRDefault="003E4626" w:rsidP="00780016">
            <w:pPr>
              <w:suppressAutoHyphens w:val="0"/>
              <w:rPr>
                <w:rFonts w:ascii="Tele-GroteskEEHal" w:hAnsi="Tele-GroteskEEHal"/>
                <w:kern w:val="0"/>
                <w:sz w:val="20"/>
                <w:szCs w:val="20"/>
                <w:lang w:val="hr-HR" w:eastAsia="hr-HR"/>
              </w:rPr>
            </w:pPr>
            <w:r w:rsidRPr="00960D6B">
              <w:rPr>
                <w:rFonts w:ascii="Tele-GroteskEEHal" w:hAnsi="Tele-GroteskEEHal"/>
                <w:kern w:val="0"/>
                <w:sz w:val="20"/>
                <w:szCs w:val="20"/>
                <w:vertAlign w:val="superscript"/>
                <w:lang w:val="hr-HR" w:eastAsia="hr-HR"/>
              </w:rPr>
              <w:t xml:space="preserve">1) </w:t>
            </w:r>
            <w:r w:rsidRPr="00960D6B">
              <w:rPr>
                <w:rFonts w:ascii="Tele-GroteskEEHal" w:hAnsi="Tele-GroteskEEHal" w:cs="Tahoma"/>
                <w:sz w:val="20"/>
                <w:szCs w:val="20"/>
                <w:lang w:val="hr-HR"/>
              </w:rPr>
              <w:t>Izvor: Izvješća VIPneta i Tele2 za treće tromjesečje 2010. i izvješće Tele2 za treće tromjesečje 2011. Broj VIPnetovih pretplatnika u trećem tromjesečju 2011. procijenjen je interno.</w:t>
            </w:r>
          </w:p>
        </w:tc>
      </w:tr>
      <w:tr w:rsidR="003E4626" w:rsidRPr="00960D6B" w:rsidTr="0018575D">
        <w:trPr>
          <w:trHeight w:val="390"/>
        </w:trPr>
        <w:tc>
          <w:tcPr>
            <w:tcW w:w="8880" w:type="dxa"/>
            <w:gridSpan w:val="5"/>
            <w:tcBorders>
              <w:top w:val="nil"/>
              <w:left w:val="nil"/>
              <w:bottom w:val="nil"/>
              <w:right w:val="nil"/>
            </w:tcBorders>
            <w:noWrap/>
            <w:vAlign w:val="center"/>
          </w:tcPr>
          <w:p w:rsidR="003E4626" w:rsidRPr="00960D6B" w:rsidRDefault="003E4626" w:rsidP="00780016">
            <w:pPr>
              <w:suppressAutoHyphens w:val="0"/>
              <w:rPr>
                <w:rFonts w:ascii="Tele-GroteskEEHal" w:hAnsi="Tele-GroteskEEHal"/>
                <w:kern w:val="0"/>
                <w:sz w:val="20"/>
                <w:szCs w:val="20"/>
                <w:lang w:val="hr-HR" w:eastAsia="hr-HR"/>
              </w:rPr>
            </w:pPr>
            <w:r w:rsidRPr="00960D6B">
              <w:rPr>
                <w:rFonts w:ascii="Tele-GroteskEEHal" w:hAnsi="Tele-GroteskEEHal"/>
                <w:kern w:val="0"/>
                <w:sz w:val="20"/>
                <w:szCs w:val="20"/>
                <w:vertAlign w:val="superscript"/>
                <w:lang w:val="hr-HR" w:eastAsia="hr-HR"/>
              </w:rPr>
              <w:t>2)</w:t>
            </w:r>
            <w:r w:rsidRPr="00960D6B">
              <w:rPr>
                <w:rFonts w:ascii="Tele-GroteskEEHal" w:hAnsi="Tele-GroteskEEHal"/>
                <w:kern w:val="0"/>
                <w:sz w:val="20"/>
                <w:szCs w:val="20"/>
                <w:lang w:val="hr-HR" w:eastAsia="hr-HR"/>
              </w:rPr>
              <w:t xml:space="preserve"> Zbog pripajanja T-Mobilea i T-Coma te unutar gore objašnjenog izvješćivanja prema novih segmentima, od prvog tromjesečja 2011. izračun ARPU-a promijenjen je na način da umjesto nekonsolidiranih prihoda od pokretnih komunikacija on sada pokazuje konsolidirane prihoda od pokretnih komunikacija.</w:t>
            </w:r>
            <w:r w:rsidRPr="00960D6B">
              <w:rPr>
                <w:rFonts w:ascii="Cambria Math" w:hAnsi="Cambria Math" w:cs="Cambria Math"/>
                <w:vanish/>
                <w:kern w:val="0"/>
                <w:sz w:val="20"/>
                <w:szCs w:val="20"/>
                <w:lang w:val="hr-HR" w:eastAsia="hr-HR"/>
              </w:rPr>
              <w:t>͐</w:t>
            </w:r>
            <w:r w:rsidRPr="00960D6B">
              <w:rPr>
                <w:rFonts w:ascii="Tele-GroteskEEHal" w:hAnsi="Tele-GroteskEEHal" w:cs="Tele-GroteskEEHal"/>
                <w:vanish/>
                <w:kern w:val="0"/>
                <w:sz w:val="20"/>
                <w:szCs w:val="20"/>
                <w:lang w:val="hr-HR" w:eastAsia="hr-HR"/>
              </w:rPr>
              <w:t>1_ጀ___Total</w:t>
            </w:r>
            <w:r w:rsidRPr="00960D6B">
              <w:rPr>
                <w:rFonts w:ascii="Tele-GroteskEEHal" w:hAnsi="Tele-GroteskEEHal"/>
                <w:vanish/>
                <w:kern w:val="0"/>
                <w:sz w:val="20"/>
                <w:szCs w:val="20"/>
                <w:lang w:val="hr-HR" w:eastAsia="hr-HR"/>
              </w:rPr>
              <w:t xml:space="preserve"> mainlines 1)_</w:t>
            </w:r>
            <w:r w:rsidRPr="00960D6B">
              <w:rPr>
                <w:rFonts w:ascii="Tele-GroteskEEHal" w:hAnsi="Tele-GroteskEEHal" w:cs="Tele-GroteskEEHal"/>
                <w:vanish/>
                <w:kern w:val="0"/>
                <w:sz w:val="20"/>
                <w:szCs w:val="20"/>
                <w:lang w:val="hr-HR" w:eastAsia="hr-HR"/>
              </w:rPr>
              <w:t>_᐀___TV customers 2)</w:t>
            </w:r>
            <w:r w:rsidRPr="00960D6B">
              <w:rPr>
                <w:rFonts w:ascii="Tele-GroteskEEHal" w:hAnsi="Tele-GroteskEEHal"/>
                <w:vanish/>
                <w:kern w:val="0"/>
                <w:sz w:val="20"/>
                <w:szCs w:val="20"/>
                <w:lang w:val="hr-HR" w:eastAsia="hr-HR"/>
              </w:rPr>
              <w:br/>
            </w:r>
            <w:r w:rsidRPr="00960D6B">
              <w:rPr>
                <w:rFonts w:ascii="Tele-GroteskEEHal" w:hAnsi="Tele-GroteskEEHal" w:cs="Tele-GroteskEEHal"/>
                <w:vanish/>
                <w:kern w:val="0"/>
                <w:sz w:val="20"/>
                <w:szCs w:val="20"/>
                <w:lang w:val="hr-HR" w:eastAsia="hr-HR"/>
              </w:rPr>
              <w:t>_ᔀ___WLR (Wholesale Line Rental)3)_N_ᘀ</w:t>
            </w:r>
            <w:r w:rsidRPr="00960D6B">
              <w:rPr>
                <w:rFonts w:ascii="Tele-GroteskEEHal" w:hAnsi="Tele-GroteskEEHal"/>
                <w:vanish/>
                <w:kern w:val="0"/>
                <w:sz w:val="20"/>
                <w:szCs w:val="20"/>
                <w:lang w:val="hr-HR" w:eastAsia="hr-HR"/>
              </w:rPr>
              <w:t xml:space="preserve">&amp;&amp;1) Includes POTS+FGSM+ ISDN+Payphones </w:t>
            </w:r>
            <w:r w:rsidRPr="00960D6B">
              <w:rPr>
                <w:rFonts w:ascii="Tele-GroteskEEHal" w:hAnsi="Tele-GroteskEEHal"/>
                <w:vanish/>
                <w:kern w:val="0"/>
                <w:sz w:val="20"/>
                <w:szCs w:val="20"/>
                <w:lang w:val="hr-HR" w:eastAsia="hr-HR"/>
              </w:rPr>
              <w:br/>
              <w:t>N</w:t>
            </w:r>
            <w:r w:rsidRPr="00960D6B">
              <w:rPr>
                <w:rFonts w:ascii="Tele-GroteskEEHal" w:hAnsi="Tele-GroteskEEHal"/>
                <w:vanish/>
                <w:kern w:val="0"/>
                <w:sz w:val="20"/>
                <w:szCs w:val="20"/>
                <w:lang w:val="hr-HR" w:eastAsia="hr-HR"/>
              </w:rPr>
              <w:br w:type="page"/>
              <w:t>_ew_</w:t>
            </w:r>
            <w:r w:rsidRPr="00960D6B">
              <w:rPr>
                <w:rFonts w:ascii="Tele-GroteskEEHal" w:hAnsi="Tele-GroteskEEHal" w:cs="Tele-GroteskEEHal"/>
                <w:vanish/>
                <w:kern w:val="0"/>
                <w:sz w:val="20"/>
                <w:szCs w:val="20"/>
                <w:lang w:val="hr-HR" w:eastAsia="hr-HR"/>
              </w:rPr>
              <w:t xml:space="preserve">ᜀ___Number </w:t>
            </w:r>
            <w:r w:rsidRPr="00960D6B">
              <w:rPr>
                <w:rFonts w:ascii="Tele-GroteskEEHal" w:hAnsi="Tele-GroteskEEHal"/>
                <w:vanish/>
                <w:kern w:val="0"/>
                <w:sz w:val="20"/>
                <w:szCs w:val="20"/>
                <w:lang w:val="hr-HR" w:eastAsia="hr-HR"/>
              </w:rPr>
              <w:t>of subscribers 3)_</w:t>
            </w:r>
            <w:r w:rsidRPr="00960D6B">
              <w:rPr>
                <w:rFonts w:ascii="Tele-GroteskEEHal" w:hAnsi="Tele-GroteskEEHal" w:cs="Tele-GroteskEEHal"/>
                <w:vanish/>
                <w:kern w:val="0"/>
                <w:sz w:val="20"/>
                <w:szCs w:val="20"/>
                <w:lang w:val="hr-HR" w:eastAsia="hr-HR"/>
              </w:rPr>
              <w:t>_᠀___Total mainlines1)__ᤀ</w:t>
            </w:r>
            <w:r w:rsidRPr="00960D6B">
              <w:rPr>
                <w:rFonts w:ascii="Tele-GroteskEEHal" w:hAnsi="Tele-GroteskEEHal" w:cs="Tele-GroteskEEHal"/>
                <w:vanish/>
                <w:kern w:val="0"/>
                <w:sz w:val="20"/>
                <w:szCs w:val="20"/>
                <w:lang w:val="hr-HR" w:eastAsia="hr-HR"/>
              </w:rPr>
              <w:br w:type="column"/>
              <w:t>_</w:t>
            </w:r>
            <w:r w:rsidRPr="00960D6B">
              <w:rPr>
                <w:rFonts w:ascii="Tele-GroteskEEHal" w:hAnsi="Tele-GroteskEEHal" w:cs="Tele-GroteskEEHal"/>
                <w:vanish/>
                <w:kern w:val="0"/>
                <w:sz w:val="20"/>
                <w:szCs w:val="20"/>
                <w:lang w:val="hr-HR" w:eastAsia="hr-HR"/>
              </w:rPr>
              <w:br w:type="column"/>
              <w:t>TV</w:t>
            </w:r>
            <w:r w:rsidRPr="00960D6B">
              <w:rPr>
                <w:rFonts w:ascii="Tele-GroteskEEHal" w:hAnsi="Tele-GroteskEEHal"/>
                <w:vanish/>
                <w:kern w:val="0"/>
                <w:sz w:val="20"/>
                <w:szCs w:val="20"/>
                <w:lang w:val="hr-HR" w:eastAsia="hr-HR"/>
              </w:rPr>
              <w:t xml:space="preserve"> customers2)</w:t>
            </w:r>
            <w:r w:rsidRPr="00960D6B">
              <w:rPr>
                <w:rFonts w:ascii="Tele-GroteskEEHal" w:hAnsi="Tele-GroteskEEHal"/>
                <w:vanish/>
                <w:kern w:val="0"/>
                <w:sz w:val="20"/>
                <w:szCs w:val="20"/>
                <w:lang w:val="hr-HR" w:eastAsia="hr-HR"/>
              </w:rPr>
              <w:br w:type="page"/>
            </w:r>
            <w:r w:rsidRPr="00960D6B">
              <w:rPr>
                <w:rFonts w:ascii="Tele-GroteskEEHal" w:hAnsi="Tele-GroteskEEHal" w:cs="Tele-GroteskEEHal"/>
                <w:vanish/>
                <w:kern w:val="0"/>
                <w:sz w:val="20"/>
                <w:szCs w:val="20"/>
                <w:lang w:val="hr-HR" w:eastAsia="hr-HR"/>
              </w:rPr>
              <w:t>_ᨀ</w:t>
            </w:r>
            <w:r w:rsidRPr="00960D6B">
              <w:rPr>
                <w:rFonts w:ascii="Tele-GroteskEEHal" w:hAnsi="Tele-GroteskEEHal"/>
                <w:vanish/>
                <w:kern w:val="0"/>
                <w:sz w:val="20"/>
                <w:szCs w:val="20"/>
                <w:lang w:val="hr-HR" w:eastAsia="hr-HR"/>
              </w:rPr>
              <w:t xml:space="preserve">&amp;&amp;1) Includes POTS+FGSM+ ISDN+Payphones </w:t>
            </w:r>
            <w:r w:rsidRPr="00960D6B">
              <w:rPr>
                <w:rFonts w:ascii="Tele-GroteskEEHal" w:hAnsi="Tele-GroteskEEHal"/>
                <w:vanish/>
                <w:kern w:val="0"/>
                <w:sz w:val="20"/>
                <w:szCs w:val="20"/>
                <w:lang w:val="hr-HR" w:eastAsia="hr-HR"/>
              </w:rPr>
              <w:br/>
              <w:t>N</w:t>
            </w:r>
            <w:r w:rsidRPr="00960D6B">
              <w:rPr>
                <w:rFonts w:ascii="Tele-GroteskEEHal" w:hAnsi="Tele-GroteskEEHal"/>
                <w:vanish/>
                <w:kern w:val="0"/>
                <w:sz w:val="20"/>
                <w:szCs w:val="20"/>
                <w:lang w:val="hr-HR" w:eastAsia="hr-HR"/>
              </w:rPr>
              <w:br w:type="page"/>
              <w:t>_e _</w:t>
            </w:r>
            <w:r w:rsidRPr="00960D6B">
              <w:rPr>
                <w:rFonts w:ascii="Tele-GroteskEEHal" w:hAnsi="Tele-GroteskEEHal" w:cs="Tele-GroteskEEHal"/>
                <w:vanish/>
                <w:kern w:val="0"/>
                <w:sz w:val="20"/>
                <w:szCs w:val="20"/>
                <w:lang w:val="hr-HR" w:eastAsia="hr-HR"/>
              </w:rPr>
              <w:t>ᬀ___WLR (Wholesale Line Rental)2)__ᰀ</w:t>
            </w:r>
            <w:r w:rsidRPr="00960D6B">
              <w:rPr>
                <w:rFonts w:ascii="Tele-GroteskEEHal" w:hAnsi="Tele-GroteskEEHal"/>
                <w:vanish/>
                <w:kern w:val="0"/>
                <w:sz w:val="20"/>
                <w:szCs w:val="20"/>
                <w:lang w:val="hr-HR" w:eastAsia="hr-HR"/>
              </w:rPr>
              <w:t xml:space="preserve">&amp;&amp;1) Includes POTS+FGSM+ ISDN+Payphones </w:t>
            </w:r>
            <w:r w:rsidRPr="00960D6B">
              <w:rPr>
                <w:rFonts w:ascii="Tele-GroteskEEHal" w:hAnsi="Tele-GroteskEEHal"/>
                <w:vanish/>
                <w:kern w:val="0"/>
                <w:sz w:val="20"/>
                <w:szCs w:val="20"/>
                <w:lang w:val="hr-HR" w:eastAsia="hr-HR"/>
              </w:rPr>
              <w:br/>
              <w:t>N</w:t>
            </w:r>
            <w:r w:rsidRPr="00960D6B">
              <w:rPr>
                <w:rFonts w:ascii="Tele-GroteskEEHal" w:hAnsi="Tele-GroteskEEHal"/>
                <w:vanish/>
                <w:kern w:val="0"/>
                <w:sz w:val="20"/>
                <w:szCs w:val="20"/>
                <w:lang w:val="hr-HR" w:eastAsia="hr-HR"/>
              </w:rPr>
              <w:br w:type="page"/>
              <w:t>_al_</w:t>
            </w:r>
            <w:r w:rsidRPr="00960D6B">
              <w:rPr>
                <w:rFonts w:ascii="Tele-GroteskEEHal" w:hAnsi="Tele-GroteskEEHal" w:cs="Tele-GroteskEEHal"/>
                <w:vanish/>
                <w:kern w:val="0"/>
                <w:sz w:val="20"/>
                <w:szCs w:val="20"/>
                <w:lang w:val="hr-HR" w:eastAsia="hr-HR"/>
              </w:rPr>
              <w:t>ᴀ__</w:t>
            </w:r>
            <w:r w:rsidRPr="00960D6B">
              <w:rPr>
                <w:rFonts w:ascii="Tele-GroteskEEHal" w:hAnsi="Tele-GroteskEEHal"/>
                <w:vanish/>
                <w:kern w:val="0"/>
                <w:sz w:val="20"/>
                <w:szCs w:val="20"/>
                <w:lang w:val="hr-HR" w:eastAsia="hr-HR"/>
              </w:rPr>
              <w:t xml:space="preserve">_% of change </w:t>
            </w:r>
            <w:r w:rsidRPr="00960D6B">
              <w:rPr>
                <w:rFonts w:ascii="Tele-GroteskEEHal" w:hAnsi="Tele-GroteskEEHal"/>
                <w:vanish/>
                <w:kern w:val="0"/>
                <w:sz w:val="20"/>
                <w:szCs w:val="20"/>
                <w:lang w:val="hr-HR" w:eastAsia="hr-HR"/>
              </w:rPr>
              <w:br/>
              <w:t>11/10_</w:t>
            </w:r>
            <w:r w:rsidRPr="00960D6B">
              <w:rPr>
                <w:rFonts w:ascii="Tahoma" w:hAnsi="Tahoma" w:cs="Tahoma"/>
                <w:vanish/>
                <w:kern w:val="0"/>
                <w:sz w:val="20"/>
                <w:szCs w:val="20"/>
                <w:lang w:val="hr-HR" w:eastAsia="hr-HR"/>
              </w:rPr>
              <w:t>Ḁ</w:t>
            </w:r>
            <w:r w:rsidRPr="00960D6B">
              <w:rPr>
                <w:rFonts w:ascii="Tele-GroteskEEHal" w:hAnsi="Tele-GroteskEEHal" w:cs="Tele-GroteskEEHal"/>
                <w:vanish/>
                <w:kern w:val="0"/>
                <w:sz w:val="20"/>
                <w:szCs w:val="20"/>
                <w:lang w:val="hr-HR" w:eastAsia="hr-HR"/>
              </w:rPr>
              <w:br w:type="page"/>
              <w:t>_</w:t>
            </w:r>
            <w:r w:rsidRPr="00960D6B">
              <w:rPr>
                <w:rFonts w:ascii="Tele-GroteskEEHal" w:hAnsi="Tele-GroteskEEHal"/>
                <w:vanish/>
                <w:kern w:val="0"/>
                <w:sz w:val="20"/>
                <w:szCs w:val="20"/>
                <w:lang w:val="hr-HR" w:eastAsia="hr-HR"/>
              </w:rPr>
              <w:br w:type="page"/>
              <w:t>Total assets_</w:t>
            </w:r>
            <w:r w:rsidRPr="00960D6B">
              <w:rPr>
                <w:rFonts w:ascii="Tahoma" w:hAnsi="Tahoma" w:cs="Tahoma"/>
                <w:vanish/>
                <w:kern w:val="0"/>
                <w:sz w:val="20"/>
                <w:szCs w:val="20"/>
                <w:lang w:val="hr-HR" w:eastAsia="hr-HR"/>
              </w:rPr>
              <w:t>ἀ</w:t>
            </w:r>
            <w:r w:rsidRPr="00960D6B">
              <w:rPr>
                <w:rFonts w:ascii="Tele-GroteskEEHal" w:hAnsi="Tele-GroteskEEHal" w:cs="Tele-GroteskEEHal"/>
                <w:vanish/>
                <w:kern w:val="0"/>
                <w:sz w:val="20"/>
                <w:szCs w:val="20"/>
                <w:lang w:val="hr-HR" w:eastAsia="hr-HR"/>
              </w:rPr>
              <w:t>__</w:t>
            </w:r>
            <w:r w:rsidRPr="00960D6B">
              <w:rPr>
                <w:rFonts w:ascii="Tele-GroteskEEHal" w:hAnsi="Tele-GroteskEEHal"/>
                <w:vanish/>
                <w:kern w:val="0"/>
                <w:sz w:val="20"/>
                <w:szCs w:val="20"/>
                <w:lang w:val="hr-HR" w:eastAsia="hr-HR"/>
              </w:rPr>
              <w:t xml:space="preserve">_Cash and cash equivalents ___% of change </w:t>
            </w:r>
            <w:r w:rsidRPr="00960D6B">
              <w:rPr>
                <w:rFonts w:ascii="Tele-GroteskEEHal" w:hAnsi="Tele-GroteskEEHal"/>
                <w:vanish/>
                <w:kern w:val="0"/>
                <w:sz w:val="20"/>
                <w:szCs w:val="20"/>
                <w:lang w:val="hr-HR" w:eastAsia="hr-HR"/>
              </w:rPr>
              <w:br/>
              <w:t>11/A10_</w:t>
            </w:r>
            <w:r w:rsidRPr="00960D6B">
              <w:rPr>
                <w:rFonts w:ascii="Tele-GroteskEEHal" w:eastAsia="Arial Unicode MS" w:hAnsi="Arial Unicode MS" w:cs="Arial Unicode MS" w:hint="eastAsia"/>
                <w:vanish/>
                <w:kern w:val="0"/>
                <w:sz w:val="20"/>
                <w:szCs w:val="20"/>
                <w:lang w:val="hr-HR" w:eastAsia="hr-HR"/>
              </w:rPr>
              <w:t> </w:t>
            </w:r>
            <w:r w:rsidRPr="00960D6B">
              <w:rPr>
                <w:rFonts w:ascii="Tele-GroteskEEHal" w:hAnsi="Tele-GroteskEEHal" w:cs="Tele-GroteskEEHal"/>
                <w:vanish/>
                <w:kern w:val="0"/>
                <w:sz w:val="20"/>
                <w:szCs w:val="20"/>
                <w:lang w:val="hr-HR" w:eastAsia="hr-HR"/>
              </w:rPr>
              <w:t>*_</w:t>
            </w:r>
            <w:r w:rsidRPr="00960D6B">
              <w:rPr>
                <w:rFonts w:ascii="Tele-GroteskEEHal" w:hAnsi="Tele-GroteskEEHal"/>
                <w:vanish/>
                <w:kern w:val="0"/>
                <w:sz w:val="20"/>
                <w:szCs w:val="20"/>
                <w:lang w:val="hr-HR" w:eastAsia="hr-HR"/>
              </w:rPr>
              <w:t>*Contribution to EBITDA before exceptionals_</w:t>
            </w:r>
          </w:p>
        </w:tc>
      </w:tr>
      <w:tr w:rsidR="003E4626" w:rsidRPr="00960D6B" w:rsidTr="0018575D">
        <w:trPr>
          <w:trHeight w:val="300"/>
        </w:trPr>
        <w:tc>
          <w:tcPr>
            <w:tcW w:w="8880" w:type="dxa"/>
            <w:gridSpan w:val="5"/>
            <w:tcBorders>
              <w:top w:val="nil"/>
              <w:left w:val="nil"/>
              <w:bottom w:val="nil"/>
              <w:right w:val="nil"/>
            </w:tcBorders>
            <w:shd w:val="clear" w:color="auto" w:fill="FFFFFF"/>
            <w:noWrap/>
            <w:vAlign w:val="center"/>
          </w:tcPr>
          <w:p w:rsidR="003E4626" w:rsidRPr="00960D6B" w:rsidRDefault="003E4626" w:rsidP="00E657CE">
            <w:pPr>
              <w:suppressAutoHyphens w:val="0"/>
              <w:rPr>
                <w:rFonts w:ascii="Tele-GroteskEEHal" w:hAnsi="Tele-GroteskEEHal"/>
                <w:bCs/>
                <w:sz w:val="20"/>
                <w:szCs w:val="20"/>
                <w:lang w:val="hr-HR"/>
              </w:rPr>
            </w:pPr>
            <w:r w:rsidRPr="00960D6B">
              <w:rPr>
                <w:rFonts w:ascii="Tele-GroteskEEHal" w:hAnsi="Tele-GroteskEEHal"/>
                <w:kern w:val="0"/>
                <w:sz w:val="20"/>
                <w:szCs w:val="20"/>
                <w:vertAlign w:val="superscript"/>
                <w:lang w:val="hr-HR" w:eastAsia="hr-HR"/>
              </w:rPr>
              <w:t xml:space="preserve">3) </w:t>
            </w:r>
            <w:r w:rsidRPr="00960D6B">
              <w:rPr>
                <w:rFonts w:ascii="Tele-GroteskEEHal" w:hAnsi="Tele-GroteskEEHal"/>
                <w:bCs/>
                <w:sz w:val="20"/>
                <w:szCs w:val="20"/>
                <w:lang w:val="hr-HR"/>
              </w:rPr>
              <w:t xml:space="preserve">U rujnu 2011. promijenjena je definicija prepaid korisnika i usklađena je s definicijom HAKOM-a. Prema novoj definiciji, samo se SIM kartice koje ostvaruju promet ili su nadoplaćene bonom u zadnjih 90 dana trebaju smatrati korisnicima. Shodno tomu, ponovno je iskazan broj korisnika u 2010. i svi povezani KPU-i.  </w:t>
            </w:r>
          </w:p>
        </w:tc>
      </w:tr>
    </w:tbl>
    <w:p w:rsidR="003E4626" w:rsidRDefault="003E4626" w:rsidP="001020C7">
      <w:pPr>
        <w:rPr>
          <w:rFonts w:ascii="Tele-GroteskEEHal" w:hAnsi="Tele-GroteskEEHal"/>
          <w:b/>
          <w:bCs/>
          <w:sz w:val="28"/>
          <w:szCs w:val="28"/>
          <w:lang w:val="hr-HR"/>
        </w:rPr>
      </w:pPr>
    </w:p>
    <w:tbl>
      <w:tblPr>
        <w:tblW w:w="8760" w:type="dxa"/>
        <w:tblInd w:w="108" w:type="dxa"/>
        <w:tblLook w:val="0000"/>
      </w:tblPr>
      <w:tblGrid>
        <w:gridCol w:w="4420"/>
        <w:gridCol w:w="1300"/>
        <w:gridCol w:w="1300"/>
        <w:gridCol w:w="1600"/>
        <w:gridCol w:w="140"/>
      </w:tblGrid>
      <w:tr w:rsidR="003E4626" w:rsidRPr="0018575D" w:rsidTr="00325951">
        <w:trPr>
          <w:gridAfter w:val="1"/>
          <w:wAfter w:w="140" w:type="dxa"/>
          <w:trHeight w:val="799"/>
        </w:trPr>
        <w:tc>
          <w:tcPr>
            <w:tcW w:w="4420" w:type="dxa"/>
            <w:tcBorders>
              <w:top w:val="single" w:sz="4" w:space="0" w:color="auto"/>
              <w:left w:val="nil"/>
              <w:bottom w:val="single" w:sz="4" w:space="0" w:color="auto"/>
              <w:right w:val="nil"/>
            </w:tcBorders>
            <w:shd w:val="clear" w:color="auto" w:fill="E20074"/>
            <w:vAlign w:val="center"/>
          </w:tcPr>
          <w:p w:rsidR="003E4626" w:rsidRPr="0018575D" w:rsidRDefault="003E4626" w:rsidP="0018575D">
            <w:pPr>
              <w:suppressAutoHyphens w:val="0"/>
              <w:rPr>
                <w:rFonts w:ascii="Tele-GroteskEEHal" w:hAnsi="Tele-GroteskEEHal"/>
                <w:b/>
                <w:bCs/>
                <w:color w:val="FFFFFF"/>
                <w:kern w:val="0"/>
                <w:lang w:val="hr-HR" w:eastAsia="hr-HR"/>
              </w:rPr>
            </w:pPr>
            <w:r w:rsidRPr="0018575D">
              <w:rPr>
                <w:rFonts w:ascii="Tele-GroteskEEHal" w:hAnsi="Tele-GroteskEEHal"/>
                <w:b/>
                <w:bCs/>
                <w:color w:val="FFFFFF"/>
                <w:kern w:val="0"/>
                <w:sz w:val="22"/>
                <w:szCs w:val="22"/>
                <w:lang w:val="hr-HR" w:eastAsia="hr-HR"/>
              </w:rPr>
              <w:t>Ključni podaci o redovnom poslovanju</w:t>
            </w:r>
          </w:p>
        </w:tc>
        <w:tc>
          <w:tcPr>
            <w:tcW w:w="1300" w:type="dxa"/>
            <w:tcBorders>
              <w:top w:val="single" w:sz="4" w:space="0" w:color="auto"/>
              <w:left w:val="nil"/>
              <w:bottom w:val="single" w:sz="4" w:space="0" w:color="auto"/>
              <w:right w:val="nil"/>
            </w:tcBorders>
            <w:shd w:val="clear" w:color="auto" w:fill="E20074"/>
            <w:vAlign w:val="center"/>
          </w:tcPr>
          <w:p w:rsidR="003E4626" w:rsidRPr="0018575D" w:rsidRDefault="003E4626" w:rsidP="0018575D">
            <w:pPr>
              <w:suppressAutoHyphens w:val="0"/>
              <w:jc w:val="right"/>
              <w:rPr>
                <w:rFonts w:ascii="Tele-GroteskEEHal" w:hAnsi="Tele-GroteskEEHal"/>
                <w:b/>
                <w:bCs/>
                <w:color w:val="FFFFFF"/>
                <w:kern w:val="0"/>
                <w:lang w:val="hr-HR" w:eastAsia="hr-HR"/>
              </w:rPr>
            </w:pPr>
            <w:r w:rsidRPr="0018575D">
              <w:rPr>
                <w:rFonts w:ascii="Tele-GroteskEEHal" w:hAnsi="Tele-GroteskEEHal"/>
                <w:b/>
                <w:bCs/>
                <w:color w:val="FFFFFF"/>
                <w:kern w:val="0"/>
                <w:sz w:val="22"/>
                <w:szCs w:val="22"/>
                <w:lang w:val="hr-HR" w:eastAsia="hr-HR"/>
              </w:rPr>
              <w:t xml:space="preserve">Sij.-Ruj. </w:t>
            </w:r>
            <w:r w:rsidRPr="0018575D">
              <w:rPr>
                <w:rFonts w:ascii="Tele-GroteskEEHal" w:hAnsi="Tele-GroteskEEHal"/>
                <w:b/>
                <w:bCs/>
                <w:color w:val="FFFFFF"/>
                <w:kern w:val="0"/>
                <w:sz w:val="22"/>
                <w:szCs w:val="22"/>
                <w:lang w:val="hr-HR" w:eastAsia="hr-HR"/>
              </w:rPr>
              <w:br/>
              <w:t>2011.</w:t>
            </w:r>
          </w:p>
        </w:tc>
        <w:tc>
          <w:tcPr>
            <w:tcW w:w="1300" w:type="dxa"/>
            <w:tcBorders>
              <w:top w:val="single" w:sz="4" w:space="0" w:color="auto"/>
              <w:left w:val="nil"/>
              <w:bottom w:val="single" w:sz="4" w:space="0" w:color="auto"/>
              <w:right w:val="nil"/>
            </w:tcBorders>
            <w:shd w:val="clear" w:color="auto" w:fill="E20074"/>
            <w:vAlign w:val="center"/>
          </w:tcPr>
          <w:p w:rsidR="003E4626" w:rsidRPr="0018575D" w:rsidRDefault="003E4626" w:rsidP="0018575D">
            <w:pPr>
              <w:suppressAutoHyphens w:val="0"/>
              <w:jc w:val="right"/>
              <w:rPr>
                <w:rFonts w:ascii="Tele-GroteskEEHal" w:hAnsi="Tele-GroteskEEHal"/>
                <w:b/>
                <w:bCs/>
                <w:color w:val="FFFFFF"/>
                <w:kern w:val="0"/>
                <w:lang w:val="hr-HR" w:eastAsia="hr-HR"/>
              </w:rPr>
            </w:pPr>
            <w:r w:rsidRPr="0018575D">
              <w:rPr>
                <w:rFonts w:ascii="Tele-GroteskEEHal" w:hAnsi="Tele-GroteskEEHal"/>
                <w:b/>
                <w:bCs/>
                <w:color w:val="FFFFFF"/>
                <w:kern w:val="0"/>
                <w:sz w:val="22"/>
                <w:szCs w:val="22"/>
                <w:lang w:val="hr-HR" w:eastAsia="hr-HR"/>
              </w:rPr>
              <w:t xml:space="preserve">Sij.-Ruj. </w:t>
            </w:r>
            <w:r w:rsidRPr="0018575D">
              <w:rPr>
                <w:rFonts w:ascii="Tele-GroteskEEHal" w:hAnsi="Tele-GroteskEEHal"/>
                <w:b/>
                <w:bCs/>
                <w:color w:val="FFFFFF"/>
                <w:kern w:val="0"/>
                <w:sz w:val="22"/>
                <w:szCs w:val="22"/>
                <w:lang w:val="hr-HR" w:eastAsia="hr-HR"/>
              </w:rPr>
              <w:br/>
              <w:t>2010.</w:t>
            </w:r>
          </w:p>
        </w:tc>
        <w:tc>
          <w:tcPr>
            <w:tcW w:w="1600" w:type="dxa"/>
            <w:tcBorders>
              <w:top w:val="single" w:sz="4" w:space="0" w:color="auto"/>
              <w:left w:val="nil"/>
              <w:bottom w:val="single" w:sz="4" w:space="0" w:color="auto"/>
              <w:right w:val="nil"/>
            </w:tcBorders>
            <w:shd w:val="clear" w:color="auto" w:fill="E20074"/>
            <w:vAlign w:val="center"/>
          </w:tcPr>
          <w:p w:rsidR="003E4626" w:rsidRPr="0018575D" w:rsidRDefault="003E4626" w:rsidP="0018575D">
            <w:pPr>
              <w:suppressAutoHyphens w:val="0"/>
              <w:jc w:val="right"/>
              <w:rPr>
                <w:rFonts w:ascii="Tele-GroteskEEHal" w:hAnsi="Tele-GroteskEEHal"/>
                <w:b/>
                <w:bCs/>
                <w:i/>
                <w:iCs/>
                <w:color w:val="FFFFFF"/>
                <w:kern w:val="0"/>
                <w:lang w:val="hr-HR" w:eastAsia="hr-HR"/>
              </w:rPr>
            </w:pPr>
            <w:r w:rsidRPr="0018575D">
              <w:rPr>
                <w:rFonts w:ascii="Tele-GroteskEEHal" w:hAnsi="Tele-GroteskEEHal"/>
                <w:b/>
                <w:bCs/>
                <w:i/>
                <w:iCs/>
                <w:color w:val="FFFFFF"/>
                <w:kern w:val="0"/>
                <w:sz w:val="22"/>
                <w:szCs w:val="22"/>
                <w:lang w:val="hr-HR" w:eastAsia="hr-HR"/>
              </w:rPr>
              <w:t xml:space="preserve">% promjene </w:t>
            </w:r>
            <w:r w:rsidRPr="0018575D">
              <w:rPr>
                <w:rFonts w:ascii="Tele-GroteskEEHal" w:hAnsi="Tele-GroteskEEHal"/>
                <w:b/>
                <w:bCs/>
                <w:i/>
                <w:iCs/>
                <w:color w:val="FFFFFF"/>
                <w:kern w:val="0"/>
                <w:sz w:val="22"/>
                <w:szCs w:val="22"/>
                <w:lang w:val="hr-HR" w:eastAsia="hr-HR"/>
              </w:rPr>
              <w:br/>
              <w:t>11/10</w:t>
            </w:r>
          </w:p>
        </w:tc>
      </w:tr>
      <w:tr w:rsidR="003E4626" w:rsidRPr="0018575D" w:rsidTr="00325951">
        <w:trPr>
          <w:gridAfter w:val="1"/>
          <w:wAfter w:w="140" w:type="dxa"/>
          <w:trHeight w:val="300"/>
        </w:trPr>
        <w:tc>
          <w:tcPr>
            <w:tcW w:w="442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Korisnici nepokretnih usluga u 000</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 </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 </w:t>
            </w:r>
          </w:p>
        </w:tc>
        <w:tc>
          <w:tcPr>
            <w:tcW w:w="16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 </w:t>
            </w:r>
          </w:p>
        </w:tc>
      </w:tr>
      <w:tr w:rsidR="003E4626" w:rsidRPr="0018575D" w:rsidTr="00325951">
        <w:trPr>
          <w:gridAfter w:val="1"/>
          <w:wAfter w:w="140" w:type="dxa"/>
          <w:trHeight w:val="345"/>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Ukupne telefonske linije</w:t>
            </w:r>
            <w:r w:rsidRPr="0018575D">
              <w:rPr>
                <w:rFonts w:ascii="Tele-GroteskEEHal" w:hAnsi="Tele-GroteskEEHal"/>
                <w:b/>
                <w:bCs/>
                <w:kern w:val="0"/>
                <w:sz w:val="22"/>
                <w:szCs w:val="22"/>
                <w:vertAlign w:val="superscript"/>
                <w:lang w:val="hr-HR" w:eastAsia="hr-HR"/>
              </w:rPr>
              <w:t>1)</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1.321</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1.444</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-8,5%</w:t>
            </w:r>
          </w:p>
        </w:tc>
      </w:tr>
      <w:tr w:rsidR="003E4626" w:rsidRPr="0018575D" w:rsidTr="00325951">
        <w:trPr>
          <w:gridAfter w:val="1"/>
          <w:wAfter w:w="140" w:type="dxa"/>
          <w:trHeight w:val="300"/>
        </w:trPr>
        <w:tc>
          <w:tcPr>
            <w:tcW w:w="4420" w:type="dxa"/>
            <w:tcBorders>
              <w:top w:val="nil"/>
              <w:left w:val="nil"/>
              <w:bottom w:val="nil"/>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1.123</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1.225</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-8,3%</w:t>
            </w:r>
          </w:p>
        </w:tc>
      </w:tr>
      <w:tr w:rsidR="003E4626" w:rsidRPr="0018575D" w:rsidTr="00325951">
        <w:trPr>
          <w:gridAfter w:val="1"/>
          <w:wAfter w:w="140" w:type="dxa"/>
          <w:trHeight w:val="3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Poslovni</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199</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219</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-9,2%</w:t>
            </w:r>
          </w:p>
        </w:tc>
      </w:tr>
      <w:tr w:rsidR="003E4626" w:rsidRPr="0018575D" w:rsidTr="00325951">
        <w:trPr>
          <w:gridAfter w:val="1"/>
          <w:wAfter w:w="140" w:type="dxa"/>
          <w:trHeight w:val="300"/>
        </w:trPr>
        <w:tc>
          <w:tcPr>
            <w:tcW w:w="4420" w:type="dxa"/>
            <w:tcBorders>
              <w:top w:val="nil"/>
              <w:left w:val="nil"/>
              <w:bottom w:val="single" w:sz="4" w:space="0" w:color="auto"/>
              <w:right w:val="nil"/>
            </w:tcBorders>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Ukupni promet (milijuni minuta)</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2.097</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2.387</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-12,2%</w:t>
            </w:r>
          </w:p>
        </w:tc>
      </w:tr>
      <w:tr w:rsidR="003E4626" w:rsidRPr="0018575D" w:rsidTr="00325951">
        <w:trPr>
          <w:gridAfter w:val="1"/>
          <w:wAfter w:w="140" w:type="dxa"/>
          <w:trHeight w:val="300"/>
        </w:trPr>
        <w:tc>
          <w:tcPr>
            <w:tcW w:w="4420" w:type="dxa"/>
            <w:tcBorders>
              <w:top w:val="nil"/>
              <w:left w:val="nil"/>
              <w:bottom w:val="nil"/>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1.558</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1.733</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-10,1%</w:t>
            </w:r>
          </w:p>
        </w:tc>
      </w:tr>
      <w:tr w:rsidR="003E4626" w:rsidRPr="0018575D" w:rsidTr="00325951">
        <w:trPr>
          <w:gridAfter w:val="1"/>
          <w:wAfter w:w="140" w:type="dxa"/>
          <w:trHeight w:val="3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Poslovni</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538</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654</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-17,7%</w:t>
            </w:r>
          </w:p>
        </w:tc>
      </w:tr>
      <w:tr w:rsidR="003E4626" w:rsidRPr="0018575D" w:rsidTr="00325951">
        <w:trPr>
          <w:gridAfter w:val="1"/>
          <w:wAfter w:w="140" w:type="dxa"/>
          <w:trHeight w:val="6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 xml:space="preserve">ARPA govornih usluga po pristupu </w:t>
            </w:r>
            <w:r w:rsidRPr="0018575D">
              <w:rPr>
                <w:rFonts w:ascii="Tele-GroteskEEHal" w:hAnsi="Tele-GroteskEEHal"/>
                <w:b/>
                <w:bCs/>
                <w:kern w:val="0"/>
                <w:sz w:val="22"/>
                <w:szCs w:val="22"/>
                <w:lang w:val="hr-HR" w:eastAsia="hr-HR"/>
              </w:rPr>
              <w:br/>
              <w:t>(mjesečni prosjek za period u HRK)</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120</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132</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-8,8%</w:t>
            </w:r>
          </w:p>
        </w:tc>
      </w:tr>
      <w:tr w:rsidR="003E4626" w:rsidRPr="0018575D" w:rsidTr="00325951">
        <w:trPr>
          <w:gridAfter w:val="1"/>
          <w:wAfter w:w="140" w:type="dxa"/>
          <w:trHeight w:val="300"/>
        </w:trPr>
        <w:tc>
          <w:tcPr>
            <w:tcW w:w="4420" w:type="dxa"/>
            <w:tcBorders>
              <w:top w:val="nil"/>
              <w:left w:val="nil"/>
              <w:bottom w:val="nil"/>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99</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107</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-7,4%</w:t>
            </w:r>
          </w:p>
        </w:tc>
      </w:tr>
      <w:tr w:rsidR="003E4626" w:rsidRPr="0018575D" w:rsidTr="00325951">
        <w:trPr>
          <w:gridAfter w:val="1"/>
          <w:wAfter w:w="140" w:type="dxa"/>
          <w:trHeight w:val="3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Poslovni</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238</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268</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-11,0%</w:t>
            </w:r>
          </w:p>
        </w:tc>
      </w:tr>
      <w:tr w:rsidR="003E4626" w:rsidRPr="0018575D" w:rsidTr="00325951">
        <w:trPr>
          <w:gridAfter w:val="1"/>
          <w:wAfter w:w="140" w:type="dxa"/>
          <w:trHeight w:val="300"/>
        </w:trPr>
        <w:tc>
          <w:tcPr>
            <w:tcW w:w="442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IP linije/korisnici u 000</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color w:val="FF0000"/>
                <w:kern w:val="0"/>
                <w:lang w:val="hr-HR" w:eastAsia="hr-HR"/>
              </w:rPr>
            </w:pPr>
            <w:r w:rsidRPr="0018575D">
              <w:rPr>
                <w:rFonts w:ascii="Tele-GroteskEEHal" w:hAnsi="Tele-GroteskEEHal"/>
                <w:b/>
                <w:bCs/>
                <w:color w:val="FF0000"/>
                <w:kern w:val="0"/>
                <w:sz w:val="22"/>
                <w:szCs w:val="22"/>
                <w:lang w:val="hr-HR" w:eastAsia="hr-HR"/>
              </w:rPr>
              <w:t> </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color w:val="FF0000"/>
                <w:kern w:val="0"/>
                <w:lang w:val="hr-HR" w:eastAsia="hr-HR"/>
              </w:rPr>
            </w:pPr>
            <w:r w:rsidRPr="0018575D">
              <w:rPr>
                <w:rFonts w:ascii="Tele-GroteskEEHal" w:hAnsi="Tele-GroteskEEHal"/>
                <w:b/>
                <w:bCs/>
                <w:color w:val="FF0000"/>
                <w:kern w:val="0"/>
                <w:sz w:val="22"/>
                <w:szCs w:val="22"/>
                <w:lang w:val="hr-HR" w:eastAsia="hr-HR"/>
              </w:rPr>
              <w:t> </w:t>
            </w:r>
          </w:p>
        </w:tc>
        <w:tc>
          <w:tcPr>
            <w:tcW w:w="16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 </w:t>
            </w:r>
          </w:p>
        </w:tc>
      </w:tr>
      <w:tr w:rsidR="003E4626" w:rsidRPr="0018575D" w:rsidTr="00325951">
        <w:trPr>
          <w:gridAfter w:val="1"/>
          <w:wAfter w:w="140" w:type="dxa"/>
          <w:trHeight w:val="300"/>
        </w:trPr>
        <w:tc>
          <w:tcPr>
            <w:tcW w:w="4420" w:type="dxa"/>
            <w:tcBorders>
              <w:top w:val="nil"/>
              <w:left w:val="nil"/>
              <w:bottom w:val="single" w:sz="4" w:space="0" w:color="auto"/>
              <w:right w:val="nil"/>
            </w:tcBorders>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 xml:space="preserve">ADSL linije </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648</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600</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7,9%</w:t>
            </w:r>
          </w:p>
        </w:tc>
      </w:tr>
      <w:tr w:rsidR="003E4626" w:rsidRPr="0018575D" w:rsidTr="00325951">
        <w:trPr>
          <w:gridAfter w:val="1"/>
          <w:wAfter w:w="140" w:type="dxa"/>
          <w:trHeight w:val="300"/>
        </w:trPr>
        <w:tc>
          <w:tcPr>
            <w:tcW w:w="4420" w:type="dxa"/>
            <w:tcBorders>
              <w:top w:val="nil"/>
              <w:left w:val="nil"/>
              <w:bottom w:val="nil"/>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538</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497</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8,3%</w:t>
            </w:r>
          </w:p>
        </w:tc>
      </w:tr>
      <w:tr w:rsidR="003E4626" w:rsidRPr="0018575D" w:rsidTr="00325951">
        <w:trPr>
          <w:gridAfter w:val="1"/>
          <w:wAfter w:w="140" w:type="dxa"/>
          <w:trHeight w:val="3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Poslovni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109</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103</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6,0%</w:t>
            </w:r>
          </w:p>
        </w:tc>
      </w:tr>
      <w:tr w:rsidR="003E4626" w:rsidRPr="0018575D" w:rsidTr="00325951">
        <w:trPr>
          <w:gridAfter w:val="1"/>
          <w:wAfter w:w="140" w:type="dxa"/>
          <w:trHeight w:val="345"/>
        </w:trPr>
        <w:tc>
          <w:tcPr>
            <w:tcW w:w="4420" w:type="dxa"/>
            <w:tcBorders>
              <w:top w:val="nil"/>
              <w:left w:val="nil"/>
              <w:bottom w:val="single" w:sz="4" w:space="0" w:color="auto"/>
              <w:right w:val="nil"/>
            </w:tcBorders>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TV korisnici</w:t>
            </w:r>
            <w:r w:rsidRPr="0018575D">
              <w:rPr>
                <w:rFonts w:ascii="Tele-GroteskEEHal" w:hAnsi="Tele-GroteskEEHal"/>
                <w:b/>
                <w:bCs/>
                <w:kern w:val="0"/>
                <w:sz w:val="22"/>
                <w:szCs w:val="22"/>
                <w:vertAlign w:val="superscript"/>
                <w:lang w:val="hr-HR" w:eastAsia="hr-HR"/>
              </w:rPr>
              <w:t>2)</w:t>
            </w:r>
          </w:p>
        </w:tc>
        <w:tc>
          <w:tcPr>
            <w:tcW w:w="1300" w:type="dxa"/>
            <w:tcBorders>
              <w:top w:val="single" w:sz="4" w:space="0" w:color="auto"/>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337</w:t>
            </w:r>
          </w:p>
        </w:tc>
        <w:tc>
          <w:tcPr>
            <w:tcW w:w="1300" w:type="dxa"/>
            <w:tcBorders>
              <w:top w:val="single" w:sz="4" w:space="0" w:color="auto"/>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277</w:t>
            </w:r>
          </w:p>
        </w:tc>
        <w:tc>
          <w:tcPr>
            <w:tcW w:w="1600" w:type="dxa"/>
            <w:tcBorders>
              <w:top w:val="single" w:sz="4" w:space="0" w:color="auto"/>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21,5%</w:t>
            </w:r>
          </w:p>
        </w:tc>
      </w:tr>
      <w:tr w:rsidR="003E4626" w:rsidRPr="0018575D" w:rsidTr="00325951">
        <w:trPr>
          <w:gridAfter w:val="1"/>
          <w:wAfter w:w="140" w:type="dxa"/>
          <w:trHeight w:val="300"/>
        </w:trPr>
        <w:tc>
          <w:tcPr>
            <w:tcW w:w="4420" w:type="dxa"/>
            <w:tcBorders>
              <w:top w:val="nil"/>
              <w:left w:val="nil"/>
              <w:bottom w:val="nil"/>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318</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261</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21,7%</w:t>
            </w:r>
          </w:p>
        </w:tc>
      </w:tr>
      <w:tr w:rsidR="003E4626" w:rsidRPr="0018575D" w:rsidTr="00325951">
        <w:trPr>
          <w:gridAfter w:val="1"/>
          <w:wAfter w:w="140" w:type="dxa"/>
          <w:trHeight w:val="3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Poslovni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19</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16</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17,0%</w:t>
            </w:r>
          </w:p>
        </w:tc>
      </w:tr>
      <w:tr w:rsidR="003E4626" w:rsidRPr="0018575D" w:rsidTr="00325951">
        <w:trPr>
          <w:gridAfter w:val="1"/>
          <w:wAfter w:w="140" w:type="dxa"/>
          <w:trHeight w:val="300"/>
        </w:trPr>
        <w:tc>
          <w:tcPr>
            <w:tcW w:w="4420" w:type="dxa"/>
            <w:tcBorders>
              <w:top w:val="nil"/>
              <w:left w:val="nil"/>
              <w:bottom w:val="single" w:sz="4" w:space="0" w:color="auto"/>
              <w:right w:val="nil"/>
            </w:tcBorders>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Korisnici stalne Internet linije</w:t>
            </w:r>
          </w:p>
        </w:tc>
        <w:tc>
          <w:tcPr>
            <w:tcW w:w="1300" w:type="dxa"/>
            <w:tcBorders>
              <w:top w:val="single" w:sz="4" w:space="0" w:color="auto"/>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w:t>
            </w:r>
          </w:p>
        </w:tc>
        <w:tc>
          <w:tcPr>
            <w:tcW w:w="1300" w:type="dxa"/>
            <w:tcBorders>
              <w:top w:val="single" w:sz="4" w:space="0" w:color="auto"/>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w:t>
            </w:r>
          </w:p>
        </w:tc>
        <w:tc>
          <w:tcPr>
            <w:tcW w:w="1600" w:type="dxa"/>
            <w:tcBorders>
              <w:top w:val="single" w:sz="4" w:space="0" w:color="auto"/>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5,7%</w:t>
            </w:r>
          </w:p>
        </w:tc>
      </w:tr>
      <w:tr w:rsidR="003E4626" w:rsidRPr="0018575D" w:rsidTr="00325951">
        <w:trPr>
          <w:gridAfter w:val="1"/>
          <w:wAfter w:w="140" w:type="dxa"/>
          <w:trHeight w:val="300"/>
        </w:trPr>
        <w:tc>
          <w:tcPr>
            <w:tcW w:w="4420" w:type="dxa"/>
            <w:tcBorders>
              <w:top w:val="nil"/>
              <w:left w:val="nil"/>
              <w:bottom w:val="single" w:sz="4" w:space="0" w:color="auto"/>
              <w:right w:val="nil"/>
            </w:tcBorders>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VPN pristupne točke</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4</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4</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8,5%</w:t>
            </w:r>
          </w:p>
        </w:tc>
      </w:tr>
      <w:tr w:rsidR="003E4626" w:rsidRPr="0018575D" w:rsidTr="00325951">
        <w:trPr>
          <w:gridAfter w:val="1"/>
          <w:wAfter w:w="140" w:type="dxa"/>
          <w:trHeight w:val="6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 xml:space="preserve">ARPA za ADSL linije </w:t>
            </w:r>
            <w:r w:rsidRPr="0018575D">
              <w:rPr>
                <w:rFonts w:ascii="Tele-GroteskEEHal" w:hAnsi="Tele-GroteskEEHal"/>
                <w:b/>
                <w:bCs/>
                <w:kern w:val="0"/>
                <w:sz w:val="22"/>
                <w:szCs w:val="22"/>
                <w:lang w:val="hr-HR" w:eastAsia="hr-HR"/>
              </w:rPr>
              <w:br/>
              <w:t>(mjesečni prosjek za period u HRK)</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121</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128</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-5,6%</w:t>
            </w:r>
          </w:p>
        </w:tc>
      </w:tr>
      <w:tr w:rsidR="003E4626" w:rsidRPr="0018575D" w:rsidTr="00325951">
        <w:trPr>
          <w:gridAfter w:val="1"/>
          <w:wAfter w:w="140" w:type="dxa"/>
          <w:trHeight w:val="315"/>
        </w:trPr>
        <w:tc>
          <w:tcPr>
            <w:tcW w:w="4420" w:type="dxa"/>
            <w:tcBorders>
              <w:top w:val="nil"/>
              <w:left w:val="nil"/>
              <w:bottom w:val="nil"/>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Privatni</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118</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125</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-5,9%</w:t>
            </w:r>
          </w:p>
        </w:tc>
      </w:tr>
      <w:tr w:rsidR="003E4626" w:rsidRPr="0018575D" w:rsidTr="00325951">
        <w:trPr>
          <w:gridAfter w:val="1"/>
          <w:wAfter w:w="140" w:type="dxa"/>
          <w:trHeight w:val="300"/>
        </w:trPr>
        <w:tc>
          <w:tcPr>
            <w:tcW w:w="4420" w:type="dxa"/>
            <w:tcBorders>
              <w:top w:val="nil"/>
              <w:left w:val="nil"/>
              <w:bottom w:val="single" w:sz="4" w:space="0" w:color="auto"/>
              <w:right w:val="nil"/>
            </w:tcBorders>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 - Poslovni</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133</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138</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-3,9%</w:t>
            </w:r>
          </w:p>
        </w:tc>
      </w:tr>
      <w:tr w:rsidR="003E4626" w:rsidRPr="0018575D" w:rsidTr="00325951">
        <w:trPr>
          <w:gridAfter w:val="1"/>
          <w:wAfter w:w="140" w:type="dxa"/>
          <w:trHeight w:val="300"/>
        </w:trPr>
        <w:tc>
          <w:tcPr>
            <w:tcW w:w="442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Podatkovne usluge u 000</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color w:val="FF0000"/>
                <w:kern w:val="0"/>
                <w:lang w:val="hr-HR" w:eastAsia="hr-HR"/>
              </w:rPr>
            </w:pPr>
            <w:r w:rsidRPr="0018575D">
              <w:rPr>
                <w:rFonts w:ascii="Tele-GroteskEEHal" w:hAnsi="Tele-GroteskEEHal"/>
                <w:b/>
                <w:bCs/>
                <w:color w:val="FF0000"/>
                <w:kern w:val="0"/>
                <w:sz w:val="22"/>
                <w:szCs w:val="22"/>
                <w:lang w:val="hr-HR" w:eastAsia="hr-HR"/>
              </w:rPr>
              <w:t> </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color w:val="FF0000"/>
                <w:kern w:val="0"/>
                <w:lang w:val="hr-HR" w:eastAsia="hr-HR"/>
              </w:rPr>
            </w:pPr>
            <w:r w:rsidRPr="0018575D">
              <w:rPr>
                <w:rFonts w:ascii="Tele-GroteskEEHal" w:hAnsi="Tele-GroteskEEHal"/>
                <w:b/>
                <w:bCs/>
                <w:color w:val="FF0000"/>
                <w:kern w:val="0"/>
                <w:sz w:val="22"/>
                <w:szCs w:val="22"/>
                <w:lang w:val="hr-HR" w:eastAsia="hr-HR"/>
              </w:rPr>
              <w:t> </w:t>
            </w:r>
          </w:p>
        </w:tc>
        <w:tc>
          <w:tcPr>
            <w:tcW w:w="16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 </w:t>
            </w:r>
          </w:p>
        </w:tc>
      </w:tr>
      <w:tr w:rsidR="003E4626" w:rsidRPr="0018575D" w:rsidTr="00325951">
        <w:trPr>
          <w:gridAfter w:val="1"/>
          <w:wAfter w:w="140" w:type="dxa"/>
          <w:trHeight w:val="300"/>
        </w:trPr>
        <w:tc>
          <w:tcPr>
            <w:tcW w:w="4420" w:type="dxa"/>
            <w:tcBorders>
              <w:top w:val="nil"/>
              <w:left w:val="nil"/>
              <w:bottom w:val="single" w:sz="4" w:space="0" w:color="auto"/>
              <w:right w:val="nil"/>
            </w:tcBorders>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Broj linija</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6</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kern w:val="0"/>
                <w:lang w:val="hr-HR" w:eastAsia="hr-HR"/>
              </w:rPr>
            </w:pPr>
            <w:r w:rsidRPr="0018575D">
              <w:rPr>
                <w:rFonts w:ascii="Tele-GroteskEEHal" w:hAnsi="Tele-GroteskEEHal"/>
                <w:b/>
                <w:bCs/>
                <w:kern w:val="0"/>
                <w:sz w:val="22"/>
                <w:szCs w:val="22"/>
                <w:lang w:val="hr-HR" w:eastAsia="hr-HR"/>
              </w:rPr>
              <w:t>6</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b/>
                <w:bCs/>
                <w:i/>
                <w:iCs/>
                <w:kern w:val="0"/>
                <w:lang w:val="hr-HR" w:eastAsia="hr-HR"/>
              </w:rPr>
            </w:pPr>
            <w:r w:rsidRPr="0018575D">
              <w:rPr>
                <w:rFonts w:ascii="Tele-GroteskEEHal" w:hAnsi="Tele-GroteskEEHal"/>
                <w:b/>
                <w:bCs/>
                <w:i/>
                <w:iCs/>
                <w:kern w:val="0"/>
                <w:sz w:val="22"/>
                <w:szCs w:val="22"/>
                <w:lang w:val="hr-HR" w:eastAsia="hr-HR"/>
              </w:rPr>
              <w:t>-7,2%</w:t>
            </w:r>
          </w:p>
        </w:tc>
      </w:tr>
      <w:tr w:rsidR="003E4626" w:rsidRPr="0018575D" w:rsidTr="00325951">
        <w:trPr>
          <w:gridAfter w:val="1"/>
          <w:wAfter w:w="140" w:type="dxa"/>
          <w:trHeight w:val="300"/>
        </w:trPr>
        <w:tc>
          <w:tcPr>
            <w:tcW w:w="442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Veleprodajne usluge/korisnici u 000</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color w:val="FF0000"/>
                <w:kern w:val="0"/>
                <w:lang w:val="hr-HR" w:eastAsia="hr-HR"/>
              </w:rPr>
            </w:pPr>
            <w:r w:rsidRPr="0018575D">
              <w:rPr>
                <w:rFonts w:ascii="Tele-GroteskEEHal" w:hAnsi="Tele-GroteskEEHal"/>
                <w:b/>
                <w:bCs/>
                <w:color w:val="FF0000"/>
                <w:kern w:val="0"/>
                <w:sz w:val="22"/>
                <w:szCs w:val="22"/>
                <w:lang w:val="hr-HR" w:eastAsia="hr-HR"/>
              </w:rPr>
              <w:t> </w:t>
            </w:r>
          </w:p>
        </w:tc>
        <w:tc>
          <w:tcPr>
            <w:tcW w:w="13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kern w:val="0"/>
                <w:lang w:val="hr-HR" w:eastAsia="hr-HR"/>
              </w:rPr>
            </w:pPr>
            <w:r w:rsidRPr="0018575D">
              <w:rPr>
                <w:rFonts w:ascii="Tele-GroteskEEHal" w:hAnsi="Tele-GroteskEEHal"/>
                <w:b/>
                <w:bCs/>
                <w:kern w:val="0"/>
                <w:sz w:val="22"/>
                <w:szCs w:val="22"/>
                <w:lang w:val="hr-HR" w:eastAsia="hr-HR"/>
              </w:rPr>
              <w:t> </w:t>
            </w:r>
          </w:p>
        </w:tc>
        <w:tc>
          <w:tcPr>
            <w:tcW w:w="1600" w:type="dxa"/>
            <w:tcBorders>
              <w:top w:val="nil"/>
              <w:left w:val="nil"/>
              <w:bottom w:val="single" w:sz="4" w:space="0" w:color="auto"/>
              <w:right w:val="nil"/>
            </w:tcBorders>
            <w:shd w:val="clear" w:color="auto" w:fill="EAEAEA"/>
            <w:noWrap/>
            <w:vAlign w:val="center"/>
          </w:tcPr>
          <w:p w:rsidR="003E4626" w:rsidRPr="0018575D" w:rsidRDefault="003E4626" w:rsidP="0018575D">
            <w:pPr>
              <w:suppressAutoHyphens w:val="0"/>
              <w:rPr>
                <w:rFonts w:ascii="Tele-GroteskEEHal" w:hAnsi="Tele-GroteskEEHal"/>
                <w:b/>
                <w:bCs/>
                <w:i/>
                <w:iCs/>
                <w:color w:val="FF0000"/>
                <w:kern w:val="0"/>
                <w:lang w:val="hr-HR" w:eastAsia="hr-HR"/>
              </w:rPr>
            </w:pPr>
            <w:r w:rsidRPr="0018575D">
              <w:rPr>
                <w:rFonts w:ascii="Tele-GroteskEEHal" w:hAnsi="Tele-GroteskEEHal"/>
                <w:b/>
                <w:bCs/>
                <w:i/>
                <w:iCs/>
                <w:color w:val="FF0000"/>
                <w:kern w:val="0"/>
                <w:sz w:val="22"/>
                <w:szCs w:val="22"/>
                <w:lang w:val="hr-HR" w:eastAsia="hr-HR"/>
              </w:rPr>
              <w:t> </w:t>
            </w:r>
          </w:p>
        </w:tc>
      </w:tr>
      <w:tr w:rsidR="003E4626" w:rsidRPr="0018575D" w:rsidTr="00325951">
        <w:trPr>
          <w:gridAfter w:val="1"/>
          <w:wAfter w:w="140" w:type="dxa"/>
          <w:trHeight w:val="300"/>
        </w:trPr>
        <w:tc>
          <w:tcPr>
            <w:tcW w:w="4420" w:type="dxa"/>
            <w:tcBorders>
              <w:top w:val="nil"/>
              <w:left w:val="nil"/>
              <w:bottom w:val="nil"/>
              <w:right w:val="nil"/>
            </w:tcBorders>
            <w:noWrap/>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CPS (predodabir operatora)</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137</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224</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-39,0%</w:t>
            </w:r>
          </w:p>
        </w:tc>
      </w:tr>
      <w:tr w:rsidR="003E4626" w:rsidRPr="0018575D" w:rsidTr="00325951">
        <w:trPr>
          <w:gridAfter w:val="1"/>
          <w:wAfter w:w="140" w:type="dxa"/>
          <w:trHeight w:val="300"/>
        </w:trPr>
        <w:tc>
          <w:tcPr>
            <w:tcW w:w="4420" w:type="dxa"/>
            <w:tcBorders>
              <w:top w:val="nil"/>
              <w:left w:val="nil"/>
              <w:bottom w:val="nil"/>
              <w:right w:val="nil"/>
            </w:tcBorders>
            <w:noWrap/>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 xml:space="preserve">NP (prenosivost broja) (korisnici/broj) </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535</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399</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34,1%</w:t>
            </w:r>
          </w:p>
        </w:tc>
      </w:tr>
      <w:tr w:rsidR="003E4626" w:rsidRPr="0018575D" w:rsidTr="00325951">
        <w:trPr>
          <w:gridAfter w:val="1"/>
          <w:wAfter w:w="140" w:type="dxa"/>
          <w:trHeight w:val="300"/>
        </w:trPr>
        <w:tc>
          <w:tcPr>
            <w:tcW w:w="4420" w:type="dxa"/>
            <w:tcBorders>
              <w:top w:val="nil"/>
              <w:left w:val="nil"/>
              <w:bottom w:val="nil"/>
              <w:right w:val="nil"/>
            </w:tcBorders>
            <w:noWrap/>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ULL (izdvojena lokalna petlja)</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144</w:t>
            </w:r>
          </w:p>
        </w:tc>
        <w:tc>
          <w:tcPr>
            <w:tcW w:w="13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130</w:t>
            </w:r>
          </w:p>
        </w:tc>
        <w:tc>
          <w:tcPr>
            <w:tcW w:w="1600" w:type="dxa"/>
            <w:tcBorders>
              <w:top w:val="nil"/>
              <w:left w:val="nil"/>
              <w:bottom w:val="nil"/>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11,1%</w:t>
            </w:r>
          </w:p>
        </w:tc>
      </w:tr>
      <w:tr w:rsidR="003E4626" w:rsidRPr="0018575D" w:rsidTr="00325951">
        <w:trPr>
          <w:gridAfter w:val="1"/>
          <w:wAfter w:w="140" w:type="dxa"/>
          <w:trHeight w:val="345"/>
        </w:trPr>
        <w:tc>
          <w:tcPr>
            <w:tcW w:w="4420" w:type="dxa"/>
            <w:tcBorders>
              <w:top w:val="nil"/>
              <w:left w:val="nil"/>
              <w:bottom w:val="single" w:sz="4" w:space="0" w:color="auto"/>
              <w:right w:val="nil"/>
            </w:tcBorders>
            <w:noWrap/>
            <w:vAlign w:val="center"/>
          </w:tcPr>
          <w:p w:rsidR="003E4626" w:rsidRPr="0018575D" w:rsidRDefault="003E4626" w:rsidP="0018575D">
            <w:pPr>
              <w:suppressAutoHyphens w:val="0"/>
              <w:rPr>
                <w:rFonts w:ascii="Tele-GroteskEEHal" w:hAnsi="Tele-GroteskEEHal"/>
                <w:color w:val="000000"/>
                <w:kern w:val="0"/>
                <w:lang w:val="hr-HR" w:eastAsia="hr-HR"/>
              </w:rPr>
            </w:pPr>
            <w:r w:rsidRPr="0018575D">
              <w:rPr>
                <w:rFonts w:ascii="Tele-GroteskEEHal" w:hAnsi="Tele-GroteskEEHal"/>
                <w:color w:val="000000"/>
                <w:kern w:val="0"/>
                <w:sz w:val="22"/>
                <w:szCs w:val="22"/>
                <w:lang w:val="hr-HR" w:eastAsia="hr-HR"/>
              </w:rPr>
              <w:t>WLR (najam korisničke linije)</w:t>
            </w:r>
            <w:r w:rsidRPr="0018575D">
              <w:rPr>
                <w:rFonts w:ascii="Tele-GroteskEEHal" w:hAnsi="Tele-GroteskEEHal"/>
                <w:color w:val="000000"/>
                <w:kern w:val="0"/>
                <w:sz w:val="22"/>
                <w:szCs w:val="22"/>
                <w:vertAlign w:val="superscript"/>
                <w:lang w:val="hr-HR" w:eastAsia="hr-HR"/>
              </w:rPr>
              <w:t>3)</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kern w:val="0"/>
                <w:lang w:val="hr-HR" w:eastAsia="hr-HR"/>
              </w:rPr>
            </w:pPr>
            <w:r w:rsidRPr="0018575D">
              <w:rPr>
                <w:rFonts w:ascii="Tele-GroteskEEHal" w:hAnsi="Tele-GroteskEEHal"/>
                <w:kern w:val="0"/>
                <w:sz w:val="22"/>
                <w:szCs w:val="22"/>
                <w:lang w:val="hr-HR" w:eastAsia="hr-HR"/>
              </w:rPr>
              <w:t>78</w:t>
            </w:r>
          </w:p>
        </w:tc>
        <w:tc>
          <w:tcPr>
            <w:tcW w:w="1300" w:type="dxa"/>
            <w:tcBorders>
              <w:top w:val="nil"/>
              <w:left w:val="nil"/>
              <w:bottom w:val="single" w:sz="4" w:space="0" w:color="auto"/>
              <w:right w:val="nil"/>
            </w:tcBorders>
            <w:noWrap/>
            <w:vAlign w:val="center"/>
          </w:tcPr>
          <w:p w:rsidR="003E4626" w:rsidRPr="0018575D" w:rsidRDefault="003E4626" w:rsidP="0018575D">
            <w:pPr>
              <w:suppressAutoHyphens w:val="0"/>
              <w:jc w:val="center"/>
              <w:rPr>
                <w:rFonts w:ascii="Tele-GroteskEEHal" w:hAnsi="Tele-GroteskEEHal"/>
                <w:kern w:val="0"/>
                <w:lang w:val="hr-HR" w:eastAsia="hr-HR"/>
              </w:rPr>
            </w:pPr>
            <w:r>
              <w:rPr>
                <w:rFonts w:ascii="Tele-GroteskEEHal" w:hAnsi="Tele-GroteskEEHal"/>
                <w:kern w:val="0"/>
                <w:sz w:val="22"/>
                <w:szCs w:val="22"/>
                <w:lang w:val="hr-HR" w:eastAsia="hr-HR"/>
              </w:rPr>
              <w:t xml:space="preserve">                      0</w:t>
            </w:r>
          </w:p>
        </w:tc>
        <w:tc>
          <w:tcPr>
            <w:tcW w:w="1600" w:type="dxa"/>
            <w:tcBorders>
              <w:top w:val="nil"/>
              <w:left w:val="nil"/>
              <w:bottom w:val="single" w:sz="4" w:space="0" w:color="auto"/>
              <w:right w:val="nil"/>
            </w:tcBorders>
            <w:noWrap/>
            <w:vAlign w:val="center"/>
          </w:tcPr>
          <w:p w:rsidR="003E4626" w:rsidRPr="0018575D" w:rsidRDefault="003E4626" w:rsidP="0018575D">
            <w:pPr>
              <w:suppressAutoHyphens w:val="0"/>
              <w:jc w:val="right"/>
              <w:rPr>
                <w:rFonts w:ascii="Tele-GroteskEEHal" w:hAnsi="Tele-GroteskEEHal"/>
                <w:i/>
                <w:iCs/>
                <w:kern w:val="0"/>
                <w:lang w:val="hr-HR" w:eastAsia="hr-HR"/>
              </w:rPr>
            </w:pPr>
            <w:r w:rsidRPr="0018575D">
              <w:rPr>
                <w:rFonts w:ascii="Tele-GroteskEEHal" w:hAnsi="Tele-GroteskEEHal"/>
                <w:i/>
                <w:iCs/>
                <w:kern w:val="0"/>
                <w:sz w:val="22"/>
                <w:szCs w:val="22"/>
                <w:lang w:val="hr-HR" w:eastAsia="hr-HR"/>
              </w:rPr>
              <w:t>-</w:t>
            </w:r>
          </w:p>
        </w:tc>
      </w:tr>
      <w:tr w:rsidR="003E4626" w:rsidRPr="00960D6B" w:rsidTr="00325951">
        <w:trPr>
          <w:trHeight w:val="288"/>
        </w:trPr>
        <w:tc>
          <w:tcPr>
            <w:tcW w:w="8760" w:type="dxa"/>
            <w:gridSpan w:val="5"/>
            <w:tcBorders>
              <w:top w:val="nil"/>
              <w:left w:val="nil"/>
              <w:bottom w:val="nil"/>
              <w:right w:val="nil"/>
            </w:tcBorders>
            <w:noWrap/>
            <w:vAlign w:val="center"/>
          </w:tcPr>
          <w:p w:rsidR="003E4626" w:rsidRPr="00960D6B" w:rsidRDefault="003E4626" w:rsidP="00FB6990">
            <w:pPr>
              <w:suppressAutoHyphens w:val="0"/>
              <w:rPr>
                <w:rFonts w:ascii="Tele-GroteskEEHal" w:hAnsi="Tele-GroteskEEHal"/>
                <w:color w:val="000000"/>
                <w:kern w:val="0"/>
                <w:sz w:val="20"/>
                <w:szCs w:val="20"/>
                <w:lang w:val="hr-HR" w:eastAsia="hr-HR"/>
              </w:rPr>
            </w:pPr>
            <w:r w:rsidRPr="00960D6B">
              <w:rPr>
                <w:rFonts w:ascii="Tele-GroteskEEHal" w:hAnsi="Tele-GroteskEEHal"/>
                <w:color w:val="000000"/>
                <w:kern w:val="0"/>
                <w:sz w:val="20"/>
                <w:szCs w:val="20"/>
                <w:lang w:val="hr-HR" w:eastAsia="hr-HR"/>
              </w:rPr>
              <w:t>1) Uključujući POTS+FGSM+ ISDN+telefonske govornice.</w:t>
            </w:r>
            <w:r w:rsidRPr="00960D6B">
              <w:rPr>
                <w:rFonts w:ascii="Tele-GroteskEEHal" w:hAnsi="Tele-GroteskEEHal"/>
                <w:vanish/>
                <w:color w:val="000000"/>
                <w:kern w:val="0"/>
                <w:sz w:val="20"/>
                <w:szCs w:val="20"/>
                <w:lang w:val="hr-HR" w:eastAsia="hr-HR"/>
              </w:rPr>
              <w:br/>
              <w:t>N</w:t>
            </w:r>
            <w:r w:rsidRPr="00960D6B">
              <w:rPr>
                <w:rFonts w:ascii="Tele-GroteskEEHal" w:hAnsi="Tele-GroteskEEHal"/>
                <w:vanish/>
                <w:color w:val="000000"/>
                <w:kern w:val="0"/>
                <w:sz w:val="20"/>
                <w:szCs w:val="20"/>
                <w:lang w:val="hr-HR" w:eastAsia="hr-HR"/>
              </w:rPr>
              <w:br w:type="page"/>
              <w:t>_ew_</w:t>
            </w:r>
            <w:r w:rsidRPr="00960D6B">
              <w:rPr>
                <w:rFonts w:ascii="Tele-GroteskEEHal" w:hAnsi="Tele-GroteskEEHal" w:cs="Tele-GroteskEEHal"/>
                <w:vanish/>
                <w:color w:val="000000"/>
                <w:kern w:val="0"/>
                <w:sz w:val="20"/>
                <w:szCs w:val="20"/>
                <w:lang w:val="hr-HR" w:eastAsia="hr-HR"/>
              </w:rPr>
              <w:t>ᜀ___Number of subscribers 3)__᠀___Total mainlines1)__ᤀ</w:t>
            </w:r>
          </w:p>
        </w:tc>
      </w:tr>
      <w:tr w:rsidR="003E4626" w:rsidRPr="00960D6B" w:rsidTr="00325951">
        <w:trPr>
          <w:trHeight w:val="331"/>
        </w:trPr>
        <w:tc>
          <w:tcPr>
            <w:tcW w:w="8760" w:type="dxa"/>
            <w:gridSpan w:val="5"/>
            <w:tcBorders>
              <w:top w:val="nil"/>
              <w:left w:val="nil"/>
              <w:bottom w:val="nil"/>
              <w:right w:val="nil"/>
            </w:tcBorders>
            <w:noWrap/>
            <w:vAlign w:val="center"/>
          </w:tcPr>
          <w:p w:rsidR="003E4626" w:rsidRPr="00960D6B" w:rsidRDefault="003E4626" w:rsidP="00FB6990">
            <w:pPr>
              <w:suppressAutoHyphens w:val="0"/>
              <w:rPr>
                <w:rFonts w:ascii="Tele-GroteskEEHal" w:hAnsi="Tele-GroteskEEHal"/>
                <w:color w:val="000000"/>
                <w:kern w:val="0"/>
                <w:sz w:val="20"/>
                <w:szCs w:val="20"/>
                <w:lang w:val="hr-HR" w:eastAsia="hr-HR"/>
              </w:rPr>
            </w:pPr>
            <w:r w:rsidRPr="00960D6B">
              <w:rPr>
                <w:rFonts w:ascii="Tele-GroteskEEHal" w:hAnsi="Tele-GroteskEEHal"/>
                <w:color w:val="000000"/>
                <w:kern w:val="0"/>
                <w:sz w:val="20"/>
                <w:szCs w:val="20"/>
                <w:vertAlign w:val="superscript"/>
                <w:lang w:val="hr-HR" w:eastAsia="hr-HR"/>
              </w:rPr>
              <w:t xml:space="preserve">2) </w:t>
            </w:r>
            <w:r w:rsidRPr="00960D6B">
              <w:rPr>
                <w:rFonts w:ascii="Tele-GroteskEEHal" w:hAnsi="Tele-GroteskEEHal"/>
                <w:color w:val="000000"/>
                <w:kern w:val="0"/>
                <w:sz w:val="20"/>
                <w:szCs w:val="20"/>
                <w:lang w:val="hr-HR" w:eastAsia="hr-HR"/>
              </w:rPr>
              <w:t>Uključujući korisnike IPTV-a, DTH i kabelske televizije.</w:t>
            </w:r>
          </w:p>
        </w:tc>
      </w:tr>
      <w:tr w:rsidR="003E4626" w:rsidRPr="00960D6B" w:rsidTr="00325951">
        <w:trPr>
          <w:trHeight w:val="331"/>
        </w:trPr>
        <w:tc>
          <w:tcPr>
            <w:tcW w:w="8760" w:type="dxa"/>
            <w:gridSpan w:val="5"/>
            <w:tcBorders>
              <w:top w:val="nil"/>
              <w:left w:val="nil"/>
              <w:bottom w:val="nil"/>
              <w:right w:val="nil"/>
            </w:tcBorders>
            <w:noWrap/>
            <w:vAlign w:val="center"/>
          </w:tcPr>
          <w:p w:rsidR="003E4626" w:rsidRPr="00960D6B" w:rsidRDefault="003E4626" w:rsidP="009E62ED">
            <w:pPr>
              <w:suppressAutoHyphens w:val="0"/>
              <w:rPr>
                <w:rFonts w:ascii="Tele-GroteskEEHal" w:hAnsi="Tele-GroteskEEHal"/>
                <w:color w:val="000000"/>
                <w:kern w:val="0"/>
                <w:sz w:val="20"/>
                <w:szCs w:val="20"/>
                <w:lang w:val="hr-HR" w:eastAsia="hr-HR"/>
              </w:rPr>
            </w:pPr>
            <w:r w:rsidRPr="00960D6B">
              <w:rPr>
                <w:rFonts w:ascii="Tele-GroteskEEHal" w:hAnsi="Tele-GroteskEEHal"/>
                <w:color w:val="000000"/>
                <w:kern w:val="0"/>
                <w:sz w:val="20"/>
                <w:szCs w:val="20"/>
                <w:vertAlign w:val="superscript"/>
                <w:lang w:val="hr-HR" w:eastAsia="hr-HR"/>
              </w:rPr>
              <w:t xml:space="preserve">3) </w:t>
            </w:r>
            <w:r w:rsidRPr="00960D6B">
              <w:rPr>
                <w:rFonts w:ascii="Tele-GroteskEEHal" w:hAnsi="Tele-GroteskEEHal"/>
                <w:color w:val="000000"/>
                <w:kern w:val="0"/>
                <w:sz w:val="20"/>
                <w:szCs w:val="20"/>
                <w:lang w:val="hr-HR" w:eastAsia="hr-HR"/>
              </w:rPr>
              <w:t>Na dan 1. srpnja T-HT je objavio novu ponudu najma korisničke linije (WLR) sukladno HAKOM-ovoj regulaciji.</w:t>
            </w:r>
          </w:p>
        </w:tc>
      </w:tr>
    </w:tbl>
    <w:p w:rsidR="003E4626" w:rsidRPr="00960D6B" w:rsidRDefault="003E4626" w:rsidP="00844868">
      <w:pPr>
        <w:tabs>
          <w:tab w:val="left" w:pos="2250"/>
        </w:tabs>
        <w:rPr>
          <w:rFonts w:ascii="Tele-GroteskEEHal" w:hAnsi="Tele-GroteskEEHal"/>
          <w:b/>
          <w:bCs/>
          <w:sz w:val="28"/>
          <w:szCs w:val="28"/>
          <w:lang w:val="hr-HR"/>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Default="003E4626" w:rsidP="003A213F">
      <w:pPr>
        <w:pStyle w:val="BodyText"/>
        <w:rPr>
          <w:lang w:val="hr-HR" w:eastAsia="ar-SA"/>
        </w:rPr>
      </w:pPr>
    </w:p>
    <w:p w:rsidR="003E4626" w:rsidRPr="003A213F" w:rsidRDefault="003E4626" w:rsidP="003A213F">
      <w:pPr>
        <w:pStyle w:val="BodyText"/>
        <w:rPr>
          <w:lang w:val="hr-HR" w:eastAsia="ar-SA"/>
        </w:rPr>
      </w:pPr>
    </w:p>
    <w:p w:rsidR="003E4626" w:rsidRPr="00960D6B" w:rsidRDefault="003E4626" w:rsidP="0008412C">
      <w:pPr>
        <w:pStyle w:val="Heading2"/>
        <w:tabs>
          <w:tab w:val="clear" w:pos="1440"/>
        </w:tabs>
        <w:ind w:left="0" w:firstLine="0"/>
        <w:jc w:val="both"/>
        <w:rPr>
          <w:rFonts w:ascii="Tele-GroteskEEHal" w:hAnsi="Tele-GroteskEEHal" w:cs="Tahoma"/>
          <w:color w:val="00000A"/>
          <w:sz w:val="28"/>
          <w:szCs w:val="28"/>
          <w:lang w:val="hr-HR"/>
        </w:rPr>
      </w:pPr>
      <w:r w:rsidRPr="00960D6B">
        <w:rPr>
          <w:rFonts w:ascii="Tele-GroteskEEHal" w:hAnsi="Tele-GroteskEEHal" w:cs="Tahoma"/>
          <w:color w:val="00000A"/>
          <w:sz w:val="28"/>
          <w:szCs w:val="28"/>
          <w:lang w:val="hr-HR"/>
        </w:rPr>
        <w:t>Financijski rezultati Grupe</w:t>
      </w:r>
    </w:p>
    <w:p w:rsidR="003E4626" w:rsidRPr="00960D6B" w:rsidRDefault="003E4626" w:rsidP="0008412C">
      <w:pPr>
        <w:rPr>
          <w:rFonts w:ascii="Tele-GroteskEEHal" w:hAnsi="Tele-GroteskEEHal" w:cs="Tahoma"/>
          <w:color w:val="1F497D"/>
          <w:sz w:val="22"/>
          <w:szCs w:val="22"/>
          <w:lang w:val="hr-HR"/>
        </w:rPr>
      </w:pPr>
    </w:p>
    <w:p w:rsidR="003E4626" w:rsidRDefault="003E4626" w:rsidP="0092107E">
      <w:pPr>
        <w:rPr>
          <w:rFonts w:ascii="Tele-GroteskEEHal" w:hAnsi="Tele-GroteskEEHal" w:cs="Tahoma"/>
          <w:b/>
          <w:sz w:val="22"/>
          <w:szCs w:val="22"/>
          <w:lang w:val="hr-HR"/>
        </w:rPr>
      </w:pPr>
      <w:r w:rsidRPr="00960D6B">
        <w:rPr>
          <w:rFonts w:ascii="Tele-GroteskEEHal" w:hAnsi="Tele-GroteskEEHal" w:cs="Tahoma"/>
          <w:b/>
          <w:sz w:val="22"/>
          <w:szCs w:val="22"/>
          <w:lang w:val="hr-HR"/>
        </w:rPr>
        <w:t>Prihodi</w:t>
      </w:r>
    </w:p>
    <w:p w:rsidR="003E4626" w:rsidRDefault="003E4626" w:rsidP="0092107E">
      <w:pPr>
        <w:rPr>
          <w:rFonts w:ascii="Tele-GroteskEEHal" w:hAnsi="Tele-GroteskEEHal" w:cs="Tahoma"/>
          <w:b/>
          <w:sz w:val="22"/>
          <w:szCs w:val="22"/>
          <w:lang w:val="hr-HR"/>
        </w:rPr>
      </w:pPr>
    </w:p>
    <w:tbl>
      <w:tblPr>
        <w:tblW w:w="8300" w:type="dxa"/>
        <w:tblInd w:w="108" w:type="dxa"/>
        <w:tblLook w:val="0000"/>
      </w:tblPr>
      <w:tblGrid>
        <w:gridCol w:w="4117"/>
        <w:gridCol w:w="1334"/>
        <w:gridCol w:w="1334"/>
        <w:gridCol w:w="1515"/>
      </w:tblGrid>
      <w:tr w:rsidR="003E4626" w:rsidRPr="00325951" w:rsidTr="00325951">
        <w:trPr>
          <w:trHeight w:val="300"/>
        </w:trPr>
        <w:tc>
          <w:tcPr>
            <w:tcW w:w="4117" w:type="dxa"/>
            <w:vMerge w:val="restart"/>
            <w:tcBorders>
              <w:top w:val="nil"/>
              <w:left w:val="nil"/>
              <w:bottom w:val="nil"/>
              <w:right w:val="nil"/>
            </w:tcBorders>
            <w:shd w:val="clear" w:color="auto" w:fill="E20074"/>
            <w:noWrap/>
            <w:vAlign w:val="center"/>
          </w:tcPr>
          <w:p w:rsidR="003E4626" w:rsidRPr="00325951" w:rsidRDefault="003E4626" w:rsidP="00325951">
            <w:pPr>
              <w:suppressAutoHyphens w:val="0"/>
              <w:rPr>
                <w:rFonts w:ascii="Tele-GroteskEEHal" w:hAnsi="Tele-GroteskEEHal"/>
                <w:b/>
                <w:bCs/>
                <w:color w:val="FFFFFF"/>
                <w:kern w:val="0"/>
                <w:lang w:val="hr-HR" w:eastAsia="hr-HR"/>
              </w:rPr>
            </w:pPr>
            <w:r w:rsidRPr="00325951">
              <w:rPr>
                <w:rFonts w:ascii="Tele-GroteskEEHal" w:hAnsi="Tele-GroteskEEHal"/>
                <w:b/>
                <w:bCs/>
                <w:color w:val="FFFFFF"/>
                <w:kern w:val="0"/>
                <w:sz w:val="22"/>
                <w:szCs w:val="22"/>
                <w:lang w:val="hr-HR" w:eastAsia="hr-HR"/>
              </w:rPr>
              <w:t>u milijunima kuna (MSFI)</w:t>
            </w:r>
          </w:p>
        </w:tc>
        <w:tc>
          <w:tcPr>
            <w:tcW w:w="1334" w:type="dxa"/>
            <w:vMerge w:val="restart"/>
            <w:tcBorders>
              <w:top w:val="nil"/>
              <w:left w:val="nil"/>
              <w:bottom w:val="nil"/>
              <w:right w:val="nil"/>
            </w:tcBorders>
            <w:shd w:val="clear" w:color="auto" w:fill="E20074"/>
            <w:vAlign w:val="center"/>
          </w:tcPr>
          <w:p w:rsidR="003E4626" w:rsidRPr="00325951" w:rsidRDefault="003E4626" w:rsidP="00325951">
            <w:pPr>
              <w:suppressAutoHyphens w:val="0"/>
              <w:jc w:val="right"/>
              <w:rPr>
                <w:rFonts w:ascii="Tele-GroteskEEHal" w:hAnsi="Tele-GroteskEEHal"/>
                <w:b/>
                <w:bCs/>
                <w:color w:val="FFFFFF"/>
                <w:kern w:val="0"/>
                <w:lang w:val="hr-HR" w:eastAsia="hr-HR"/>
              </w:rPr>
            </w:pPr>
            <w:r w:rsidRPr="00325951">
              <w:rPr>
                <w:rFonts w:ascii="Tele-GroteskEEHal" w:hAnsi="Tele-GroteskEEHal"/>
                <w:b/>
                <w:bCs/>
                <w:color w:val="FFFFFF"/>
                <w:kern w:val="0"/>
                <w:sz w:val="22"/>
                <w:szCs w:val="22"/>
                <w:lang w:val="hr-HR" w:eastAsia="hr-HR"/>
              </w:rPr>
              <w:t xml:space="preserve">Sij.-Ruj. </w:t>
            </w:r>
            <w:r w:rsidRPr="00325951">
              <w:rPr>
                <w:rFonts w:ascii="Tele-GroteskEEHal" w:hAnsi="Tele-GroteskEEHal"/>
                <w:b/>
                <w:bCs/>
                <w:color w:val="FFFFFF"/>
                <w:kern w:val="0"/>
                <w:sz w:val="22"/>
                <w:szCs w:val="22"/>
                <w:lang w:val="hr-HR" w:eastAsia="hr-HR"/>
              </w:rPr>
              <w:br/>
              <w:t>2011.</w:t>
            </w:r>
          </w:p>
        </w:tc>
        <w:tc>
          <w:tcPr>
            <w:tcW w:w="1334" w:type="dxa"/>
            <w:vMerge w:val="restart"/>
            <w:tcBorders>
              <w:top w:val="nil"/>
              <w:left w:val="nil"/>
              <w:bottom w:val="nil"/>
              <w:right w:val="nil"/>
            </w:tcBorders>
            <w:shd w:val="clear" w:color="auto" w:fill="E20074"/>
            <w:vAlign w:val="center"/>
          </w:tcPr>
          <w:p w:rsidR="003E4626" w:rsidRPr="00325951" w:rsidRDefault="003E4626" w:rsidP="00325951">
            <w:pPr>
              <w:suppressAutoHyphens w:val="0"/>
              <w:jc w:val="right"/>
              <w:rPr>
                <w:rFonts w:ascii="Tele-GroteskEEHal" w:hAnsi="Tele-GroteskEEHal"/>
                <w:b/>
                <w:bCs/>
                <w:color w:val="FFFFFF"/>
                <w:kern w:val="0"/>
                <w:lang w:val="hr-HR" w:eastAsia="hr-HR"/>
              </w:rPr>
            </w:pPr>
            <w:r w:rsidRPr="00325951">
              <w:rPr>
                <w:rFonts w:ascii="Tele-GroteskEEHal" w:hAnsi="Tele-GroteskEEHal"/>
                <w:b/>
                <w:bCs/>
                <w:color w:val="FFFFFF"/>
                <w:kern w:val="0"/>
                <w:sz w:val="22"/>
                <w:szCs w:val="22"/>
                <w:lang w:val="hr-HR" w:eastAsia="hr-HR"/>
              </w:rPr>
              <w:t xml:space="preserve">Sij.-Ruj. </w:t>
            </w:r>
            <w:r w:rsidRPr="00325951">
              <w:rPr>
                <w:rFonts w:ascii="Tele-GroteskEEHal" w:hAnsi="Tele-GroteskEEHal"/>
                <w:b/>
                <w:bCs/>
                <w:color w:val="FFFFFF"/>
                <w:kern w:val="0"/>
                <w:sz w:val="22"/>
                <w:szCs w:val="22"/>
                <w:lang w:val="hr-HR" w:eastAsia="hr-HR"/>
              </w:rPr>
              <w:br/>
              <w:t>2010.</w:t>
            </w:r>
          </w:p>
        </w:tc>
        <w:tc>
          <w:tcPr>
            <w:tcW w:w="1515" w:type="dxa"/>
            <w:vMerge w:val="restart"/>
            <w:tcBorders>
              <w:top w:val="nil"/>
              <w:left w:val="nil"/>
              <w:bottom w:val="nil"/>
              <w:right w:val="nil"/>
            </w:tcBorders>
            <w:shd w:val="clear" w:color="auto" w:fill="E20074"/>
            <w:vAlign w:val="center"/>
          </w:tcPr>
          <w:p w:rsidR="003E4626" w:rsidRPr="00325951" w:rsidRDefault="003E4626" w:rsidP="00325951">
            <w:pPr>
              <w:suppressAutoHyphens w:val="0"/>
              <w:jc w:val="right"/>
              <w:rPr>
                <w:rFonts w:ascii="Tele-GroteskEEHal" w:hAnsi="Tele-GroteskEEHal"/>
                <w:b/>
                <w:bCs/>
                <w:i/>
                <w:iCs/>
                <w:color w:val="FFFFFF"/>
                <w:kern w:val="0"/>
                <w:lang w:val="hr-HR" w:eastAsia="hr-HR"/>
              </w:rPr>
            </w:pPr>
            <w:r w:rsidRPr="00325951">
              <w:rPr>
                <w:rFonts w:ascii="Tele-GroteskEEHal" w:hAnsi="Tele-GroteskEEHal"/>
                <w:b/>
                <w:bCs/>
                <w:i/>
                <w:iCs/>
                <w:color w:val="FFFFFF"/>
                <w:kern w:val="0"/>
                <w:sz w:val="22"/>
                <w:szCs w:val="22"/>
                <w:lang w:val="hr-HR" w:eastAsia="hr-HR"/>
              </w:rPr>
              <w:t xml:space="preserve">% promjene </w:t>
            </w:r>
            <w:r w:rsidRPr="00325951">
              <w:rPr>
                <w:rFonts w:ascii="Tele-GroteskEEHal" w:hAnsi="Tele-GroteskEEHal"/>
                <w:b/>
                <w:bCs/>
                <w:i/>
                <w:iCs/>
                <w:color w:val="FFFFFF"/>
                <w:kern w:val="0"/>
                <w:sz w:val="22"/>
                <w:szCs w:val="22"/>
                <w:lang w:val="hr-HR" w:eastAsia="hr-HR"/>
              </w:rPr>
              <w:br/>
              <w:t>11/10</w:t>
            </w:r>
          </w:p>
        </w:tc>
      </w:tr>
      <w:tr w:rsidR="003E4626" w:rsidRPr="00325951" w:rsidTr="00325951">
        <w:trPr>
          <w:trHeight w:val="499"/>
        </w:trPr>
        <w:tc>
          <w:tcPr>
            <w:tcW w:w="4117" w:type="dxa"/>
            <w:vMerge/>
            <w:tcBorders>
              <w:top w:val="nil"/>
              <w:left w:val="nil"/>
              <w:bottom w:val="nil"/>
              <w:right w:val="nil"/>
            </w:tcBorders>
            <w:vAlign w:val="center"/>
          </w:tcPr>
          <w:p w:rsidR="003E4626" w:rsidRPr="00325951" w:rsidRDefault="003E4626" w:rsidP="00325951">
            <w:pPr>
              <w:suppressAutoHyphens w:val="0"/>
              <w:rPr>
                <w:rFonts w:ascii="Tele-GroteskEEHal" w:hAnsi="Tele-GroteskEEHal"/>
                <w:b/>
                <w:bCs/>
                <w:color w:val="FFFFFF"/>
                <w:kern w:val="0"/>
                <w:lang w:val="hr-HR" w:eastAsia="hr-HR"/>
              </w:rPr>
            </w:pPr>
          </w:p>
        </w:tc>
        <w:tc>
          <w:tcPr>
            <w:tcW w:w="1334" w:type="dxa"/>
            <w:vMerge/>
            <w:tcBorders>
              <w:top w:val="nil"/>
              <w:left w:val="nil"/>
              <w:bottom w:val="nil"/>
              <w:right w:val="nil"/>
            </w:tcBorders>
            <w:vAlign w:val="center"/>
          </w:tcPr>
          <w:p w:rsidR="003E4626" w:rsidRPr="00325951" w:rsidRDefault="003E4626" w:rsidP="00325951">
            <w:pPr>
              <w:suppressAutoHyphens w:val="0"/>
              <w:rPr>
                <w:rFonts w:ascii="Tele-GroteskEEHal" w:hAnsi="Tele-GroteskEEHal"/>
                <w:b/>
                <w:bCs/>
                <w:color w:val="FFFFFF"/>
                <w:kern w:val="0"/>
                <w:lang w:val="hr-HR" w:eastAsia="hr-HR"/>
              </w:rPr>
            </w:pPr>
          </w:p>
        </w:tc>
        <w:tc>
          <w:tcPr>
            <w:tcW w:w="1334" w:type="dxa"/>
            <w:vMerge/>
            <w:tcBorders>
              <w:top w:val="nil"/>
              <w:left w:val="nil"/>
              <w:bottom w:val="nil"/>
              <w:right w:val="nil"/>
            </w:tcBorders>
            <w:vAlign w:val="center"/>
          </w:tcPr>
          <w:p w:rsidR="003E4626" w:rsidRPr="00325951" w:rsidRDefault="003E4626" w:rsidP="00325951">
            <w:pPr>
              <w:suppressAutoHyphens w:val="0"/>
              <w:rPr>
                <w:rFonts w:ascii="Tele-GroteskEEHal" w:hAnsi="Tele-GroteskEEHal"/>
                <w:b/>
                <w:bCs/>
                <w:color w:val="FFFFFF"/>
                <w:kern w:val="0"/>
                <w:lang w:val="hr-HR" w:eastAsia="hr-HR"/>
              </w:rPr>
            </w:pPr>
          </w:p>
        </w:tc>
        <w:tc>
          <w:tcPr>
            <w:tcW w:w="1515" w:type="dxa"/>
            <w:vMerge/>
            <w:tcBorders>
              <w:top w:val="nil"/>
              <w:left w:val="nil"/>
              <w:bottom w:val="nil"/>
              <w:right w:val="nil"/>
            </w:tcBorders>
            <w:vAlign w:val="center"/>
          </w:tcPr>
          <w:p w:rsidR="003E4626" w:rsidRPr="00325951" w:rsidRDefault="003E4626" w:rsidP="00325951">
            <w:pPr>
              <w:suppressAutoHyphens w:val="0"/>
              <w:rPr>
                <w:rFonts w:ascii="Tele-GroteskEEHal" w:hAnsi="Tele-GroteskEEHal"/>
                <w:b/>
                <w:bCs/>
                <w:i/>
                <w:iCs/>
                <w:color w:val="FFFFFF"/>
                <w:kern w:val="0"/>
                <w:lang w:val="hr-HR" w:eastAsia="hr-HR"/>
              </w:rPr>
            </w:pPr>
          </w:p>
        </w:tc>
      </w:tr>
      <w:tr w:rsidR="003E4626" w:rsidRPr="00325951" w:rsidTr="00325951">
        <w:trPr>
          <w:trHeight w:val="342"/>
        </w:trPr>
        <w:tc>
          <w:tcPr>
            <w:tcW w:w="4117" w:type="dxa"/>
            <w:tcBorders>
              <w:top w:val="nil"/>
              <w:left w:val="nil"/>
              <w:bottom w:val="nil"/>
              <w:right w:val="nil"/>
            </w:tcBorders>
            <w:noWrap/>
            <w:vAlign w:val="center"/>
          </w:tcPr>
          <w:p w:rsidR="003E4626" w:rsidRPr="00325951" w:rsidRDefault="003E4626" w:rsidP="00325951">
            <w:pPr>
              <w:suppressAutoHyphens w:val="0"/>
              <w:rPr>
                <w:rFonts w:ascii="Tele-GroteskEEHal" w:hAnsi="Tele-GroteskEEHal"/>
                <w:kern w:val="0"/>
                <w:lang w:val="hr-HR" w:eastAsia="hr-HR"/>
              </w:rPr>
            </w:pPr>
            <w:r w:rsidRPr="00325951">
              <w:rPr>
                <w:rFonts w:ascii="Tele-GroteskEEHal" w:hAnsi="Tele-GroteskEEHal"/>
                <w:kern w:val="0"/>
                <w:sz w:val="22"/>
                <w:szCs w:val="22"/>
                <w:lang w:val="hr-HR" w:eastAsia="hr-HR"/>
              </w:rPr>
              <w:t>Prihodi od govornih usluga</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3.352</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3.820</w:t>
            </w:r>
          </w:p>
        </w:tc>
        <w:tc>
          <w:tcPr>
            <w:tcW w:w="1515" w:type="dxa"/>
            <w:tcBorders>
              <w:top w:val="nil"/>
              <w:left w:val="nil"/>
              <w:bottom w:val="nil"/>
              <w:right w:val="nil"/>
            </w:tcBorders>
            <w:vAlign w:val="center"/>
          </w:tcPr>
          <w:p w:rsidR="003E4626" w:rsidRPr="00325951" w:rsidRDefault="003E4626" w:rsidP="00325951">
            <w:pPr>
              <w:suppressAutoHyphens w:val="0"/>
              <w:jc w:val="right"/>
              <w:rPr>
                <w:rFonts w:ascii="Tele-GroteskEEHal" w:hAnsi="Tele-GroteskEEHal"/>
                <w:i/>
                <w:iCs/>
                <w:kern w:val="0"/>
                <w:lang w:val="hr-HR" w:eastAsia="hr-HR"/>
              </w:rPr>
            </w:pPr>
            <w:r w:rsidRPr="00325951">
              <w:rPr>
                <w:rFonts w:ascii="Tele-GroteskEEHal" w:hAnsi="Tele-GroteskEEHal"/>
                <w:i/>
                <w:iCs/>
                <w:kern w:val="0"/>
                <w:sz w:val="22"/>
                <w:szCs w:val="22"/>
                <w:lang w:val="hr-HR" w:eastAsia="hr-HR"/>
              </w:rPr>
              <w:t>-12,3%</w:t>
            </w:r>
          </w:p>
        </w:tc>
      </w:tr>
      <w:tr w:rsidR="003E4626" w:rsidRPr="00325951" w:rsidTr="00325951">
        <w:trPr>
          <w:trHeight w:val="342"/>
        </w:trPr>
        <w:tc>
          <w:tcPr>
            <w:tcW w:w="4117" w:type="dxa"/>
            <w:tcBorders>
              <w:top w:val="nil"/>
              <w:left w:val="nil"/>
              <w:bottom w:val="nil"/>
              <w:right w:val="nil"/>
            </w:tcBorders>
            <w:noWrap/>
            <w:vAlign w:val="center"/>
          </w:tcPr>
          <w:p w:rsidR="003E4626" w:rsidRPr="00325951" w:rsidRDefault="003E4626" w:rsidP="00325951">
            <w:pPr>
              <w:suppressAutoHyphens w:val="0"/>
              <w:rPr>
                <w:rFonts w:ascii="Tele-GroteskEEHal" w:hAnsi="Tele-GroteskEEHal"/>
                <w:kern w:val="0"/>
                <w:lang w:val="hr-HR" w:eastAsia="hr-HR"/>
              </w:rPr>
            </w:pPr>
            <w:r w:rsidRPr="00325951">
              <w:rPr>
                <w:rFonts w:ascii="Tele-GroteskEEHal" w:hAnsi="Tele-GroteskEEHal"/>
                <w:kern w:val="0"/>
                <w:sz w:val="22"/>
                <w:szCs w:val="22"/>
                <w:lang w:val="hr-HR" w:eastAsia="hr-HR"/>
              </w:rPr>
              <w:t>Prihodi od negovornih usluga</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1.946</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1.930</w:t>
            </w:r>
          </w:p>
        </w:tc>
        <w:tc>
          <w:tcPr>
            <w:tcW w:w="1515" w:type="dxa"/>
            <w:tcBorders>
              <w:top w:val="nil"/>
              <w:left w:val="nil"/>
              <w:bottom w:val="nil"/>
              <w:right w:val="nil"/>
            </w:tcBorders>
            <w:vAlign w:val="center"/>
          </w:tcPr>
          <w:p w:rsidR="003E4626" w:rsidRPr="00325951" w:rsidRDefault="003E4626" w:rsidP="00325951">
            <w:pPr>
              <w:suppressAutoHyphens w:val="0"/>
              <w:jc w:val="right"/>
              <w:rPr>
                <w:rFonts w:ascii="Tele-GroteskEEHal" w:hAnsi="Tele-GroteskEEHal"/>
                <w:i/>
                <w:iCs/>
                <w:kern w:val="0"/>
                <w:lang w:val="hr-HR" w:eastAsia="hr-HR"/>
              </w:rPr>
            </w:pPr>
            <w:r w:rsidRPr="00325951">
              <w:rPr>
                <w:rFonts w:ascii="Tele-GroteskEEHal" w:hAnsi="Tele-GroteskEEHal"/>
                <w:i/>
                <w:iCs/>
                <w:kern w:val="0"/>
                <w:sz w:val="22"/>
                <w:szCs w:val="22"/>
                <w:lang w:val="hr-HR" w:eastAsia="hr-HR"/>
              </w:rPr>
              <w:t>0,9%</w:t>
            </w:r>
          </w:p>
        </w:tc>
      </w:tr>
      <w:tr w:rsidR="003E4626" w:rsidRPr="00325951" w:rsidTr="00325951">
        <w:trPr>
          <w:trHeight w:val="342"/>
        </w:trPr>
        <w:tc>
          <w:tcPr>
            <w:tcW w:w="4117" w:type="dxa"/>
            <w:tcBorders>
              <w:top w:val="nil"/>
              <w:left w:val="nil"/>
              <w:bottom w:val="nil"/>
              <w:right w:val="nil"/>
            </w:tcBorders>
            <w:noWrap/>
            <w:vAlign w:val="center"/>
          </w:tcPr>
          <w:p w:rsidR="003E4626" w:rsidRPr="00325951" w:rsidRDefault="003E4626" w:rsidP="00325951">
            <w:pPr>
              <w:suppressAutoHyphens w:val="0"/>
              <w:rPr>
                <w:rFonts w:ascii="Tele-GroteskEEHal" w:hAnsi="Tele-GroteskEEHal"/>
                <w:kern w:val="0"/>
                <w:lang w:val="hr-HR" w:eastAsia="hr-HR"/>
              </w:rPr>
            </w:pPr>
            <w:r w:rsidRPr="00325951">
              <w:rPr>
                <w:rFonts w:ascii="Tele-GroteskEEHal" w:hAnsi="Tele-GroteskEEHal"/>
                <w:kern w:val="0"/>
                <w:sz w:val="22"/>
                <w:szCs w:val="22"/>
                <w:lang w:val="hr-HR" w:eastAsia="hr-HR"/>
              </w:rPr>
              <w:t>Ostali prihodi od usluga</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535</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259</w:t>
            </w:r>
          </w:p>
        </w:tc>
        <w:tc>
          <w:tcPr>
            <w:tcW w:w="1515" w:type="dxa"/>
            <w:tcBorders>
              <w:top w:val="nil"/>
              <w:left w:val="nil"/>
              <w:bottom w:val="nil"/>
              <w:right w:val="nil"/>
            </w:tcBorders>
            <w:vAlign w:val="center"/>
          </w:tcPr>
          <w:p w:rsidR="003E4626" w:rsidRPr="00325951" w:rsidRDefault="003E4626" w:rsidP="00325951">
            <w:pPr>
              <w:suppressAutoHyphens w:val="0"/>
              <w:jc w:val="right"/>
              <w:rPr>
                <w:rFonts w:ascii="Tele-GroteskEEHal" w:hAnsi="Tele-GroteskEEHal"/>
                <w:i/>
                <w:iCs/>
                <w:kern w:val="0"/>
                <w:lang w:val="hr-HR" w:eastAsia="hr-HR"/>
              </w:rPr>
            </w:pPr>
            <w:r w:rsidRPr="00325951">
              <w:rPr>
                <w:rFonts w:ascii="Tele-GroteskEEHal" w:hAnsi="Tele-GroteskEEHal"/>
                <w:i/>
                <w:iCs/>
                <w:kern w:val="0"/>
                <w:sz w:val="22"/>
                <w:szCs w:val="22"/>
                <w:lang w:val="hr-HR" w:eastAsia="hr-HR"/>
              </w:rPr>
              <w:t>106,5%</w:t>
            </w:r>
          </w:p>
        </w:tc>
      </w:tr>
      <w:tr w:rsidR="003E4626" w:rsidRPr="00325951" w:rsidTr="00325951">
        <w:trPr>
          <w:trHeight w:val="342"/>
        </w:trPr>
        <w:tc>
          <w:tcPr>
            <w:tcW w:w="4117" w:type="dxa"/>
            <w:tcBorders>
              <w:top w:val="nil"/>
              <w:left w:val="nil"/>
              <w:bottom w:val="nil"/>
              <w:right w:val="nil"/>
            </w:tcBorders>
            <w:noWrap/>
            <w:vAlign w:val="center"/>
          </w:tcPr>
          <w:p w:rsidR="003E4626" w:rsidRPr="00325951" w:rsidRDefault="003E4626" w:rsidP="00325951">
            <w:pPr>
              <w:suppressAutoHyphens w:val="0"/>
              <w:rPr>
                <w:rFonts w:ascii="Tele-GroteskEEHal" w:hAnsi="Tele-GroteskEEHal"/>
                <w:kern w:val="0"/>
                <w:lang w:val="hr-HR" w:eastAsia="hr-HR"/>
              </w:rPr>
            </w:pPr>
            <w:r w:rsidRPr="00325951">
              <w:rPr>
                <w:rFonts w:ascii="Tele-GroteskEEHal" w:hAnsi="Tele-GroteskEEHal"/>
                <w:kern w:val="0"/>
                <w:sz w:val="22"/>
                <w:szCs w:val="22"/>
                <w:lang w:val="hr-HR" w:eastAsia="hr-HR"/>
              </w:rPr>
              <w:t>Terminalna oprema</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161</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179</w:t>
            </w:r>
          </w:p>
        </w:tc>
        <w:tc>
          <w:tcPr>
            <w:tcW w:w="1515" w:type="dxa"/>
            <w:tcBorders>
              <w:top w:val="nil"/>
              <w:left w:val="nil"/>
              <w:bottom w:val="nil"/>
              <w:right w:val="nil"/>
            </w:tcBorders>
            <w:vAlign w:val="center"/>
          </w:tcPr>
          <w:p w:rsidR="003E4626" w:rsidRPr="00325951" w:rsidRDefault="003E4626" w:rsidP="00325951">
            <w:pPr>
              <w:suppressAutoHyphens w:val="0"/>
              <w:jc w:val="right"/>
              <w:rPr>
                <w:rFonts w:ascii="Tele-GroteskEEHal" w:hAnsi="Tele-GroteskEEHal"/>
                <w:i/>
                <w:iCs/>
                <w:kern w:val="0"/>
                <w:lang w:val="hr-HR" w:eastAsia="hr-HR"/>
              </w:rPr>
            </w:pPr>
            <w:r w:rsidRPr="00325951">
              <w:rPr>
                <w:rFonts w:ascii="Tele-GroteskEEHal" w:hAnsi="Tele-GroteskEEHal"/>
                <w:i/>
                <w:iCs/>
                <w:kern w:val="0"/>
                <w:sz w:val="22"/>
                <w:szCs w:val="22"/>
                <w:lang w:val="hr-HR" w:eastAsia="hr-HR"/>
              </w:rPr>
              <w:t>-10,0%</w:t>
            </w:r>
          </w:p>
        </w:tc>
      </w:tr>
      <w:tr w:rsidR="003E4626" w:rsidRPr="00325951" w:rsidTr="00325951">
        <w:trPr>
          <w:trHeight w:val="342"/>
        </w:trPr>
        <w:tc>
          <w:tcPr>
            <w:tcW w:w="4117" w:type="dxa"/>
            <w:tcBorders>
              <w:top w:val="nil"/>
              <w:left w:val="nil"/>
              <w:bottom w:val="nil"/>
              <w:right w:val="nil"/>
            </w:tcBorders>
            <w:noWrap/>
            <w:vAlign w:val="center"/>
          </w:tcPr>
          <w:p w:rsidR="003E4626" w:rsidRPr="00325951" w:rsidRDefault="003E4626" w:rsidP="00325951">
            <w:pPr>
              <w:suppressAutoHyphens w:val="0"/>
              <w:rPr>
                <w:rFonts w:ascii="Tele-GroteskEEHal" w:hAnsi="Tele-GroteskEEHal"/>
                <w:kern w:val="0"/>
                <w:lang w:val="hr-HR" w:eastAsia="hr-HR"/>
              </w:rPr>
            </w:pPr>
            <w:r w:rsidRPr="00325951">
              <w:rPr>
                <w:rFonts w:ascii="Tele-GroteskEEHal" w:hAnsi="Tele-GroteskEEHal"/>
                <w:kern w:val="0"/>
                <w:sz w:val="22"/>
                <w:szCs w:val="22"/>
                <w:lang w:val="hr-HR" w:eastAsia="hr-HR"/>
              </w:rPr>
              <w:t>Razno</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98</w:t>
            </w:r>
          </w:p>
        </w:tc>
        <w:tc>
          <w:tcPr>
            <w:tcW w:w="1334" w:type="dxa"/>
            <w:tcBorders>
              <w:top w:val="nil"/>
              <w:left w:val="nil"/>
              <w:bottom w:val="nil"/>
              <w:right w:val="nil"/>
            </w:tcBorders>
            <w:noWrap/>
            <w:vAlign w:val="center"/>
          </w:tcPr>
          <w:p w:rsidR="003E4626" w:rsidRPr="00325951" w:rsidRDefault="003E4626" w:rsidP="00325951">
            <w:pPr>
              <w:suppressAutoHyphens w:val="0"/>
              <w:jc w:val="right"/>
              <w:rPr>
                <w:rFonts w:ascii="Tele-GroteskEEHal" w:hAnsi="Tele-GroteskEEHal"/>
                <w:kern w:val="0"/>
                <w:lang w:val="hr-HR" w:eastAsia="hr-HR"/>
              </w:rPr>
            </w:pPr>
            <w:r w:rsidRPr="00325951">
              <w:rPr>
                <w:rFonts w:ascii="Tele-GroteskEEHal" w:hAnsi="Tele-GroteskEEHal"/>
                <w:kern w:val="0"/>
                <w:sz w:val="22"/>
                <w:szCs w:val="22"/>
                <w:lang w:val="hr-HR" w:eastAsia="hr-HR"/>
              </w:rPr>
              <w:t>133</w:t>
            </w:r>
          </w:p>
        </w:tc>
        <w:tc>
          <w:tcPr>
            <w:tcW w:w="1515" w:type="dxa"/>
            <w:tcBorders>
              <w:top w:val="nil"/>
              <w:left w:val="nil"/>
              <w:bottom w:val="nil"/>
              <w:right w:val="nil"/>
            </w:tcBorders>
            <w:vAlign w:val="center"/>
          </w:tcPr>
          <w:p w:rsidR="003E4626" w:rsidRPr="00325951" w:rsidRDefault="003E4626" w:rsidP="00325951">
            <w:pPr>
              <w:suppressAutoHyphens w:val="0"/>
              <w:jc w:val="right"/>
              <w:rPr>
                <w:rFonts w:ascii="Tele-GroteskEEHal" w:hAnsi="Tele-GroteskEEHal"/>
                <w:i/>
                <w:iCs/>
                <w:kern w:val="0"/>
                <w:lang w:val="hr-HR" w:eastAsia="hr-HR"/>
              </w:rPr>
            </w:pPr>
            <w:r w:rsidRPr="00325951">
              <w:rPr>
                <w:rFonts w:ascii="Tele-GroteskEEHal" w:hAnsi="Tele-GroteskEEHal"/>
                <w:i/>
                <w:iCs/>
                <w:kern w:val="0"/>
                <w:sz w:val="22"/>
                <w:szCs w:val="22"/>
                <w:lang w:val="hr-HR" w:eastAsia="hr-HR"/>
              </w:rPr>
              <w:t>-25,9%</w:t>
            </w:r>
          </w:p>
        </w:tc>
      </w:tr>
      <w:tr w:rsidR="003E4626" w:rsidRPr="00325951" w:rsidTr="00325951">
        <w:trPr>
          <w:trHeight w:val="342"/>
        </w:trPr>
        <w:tc>
          <w:tcPr>
            <w:tcW w:w="4117" w:type="dxa"/>
            <w:tcBorders>
              <w:top w:val="nil"/>
              <w:left w:val="nil"/>
              <w:bottom w:val="nil"/>
              <w:right w:val="nil"/>
            </w:tcBorders>
            <w:shd w:val="clear" w:color="auto" w:fill="E20074"/>
            <w:vAlign w:val="center"/>
          </w:tcPr>
          <w:p w:rsidR="003E4626" w:rsidRPr="00325951" w:rsidRDefault="003E4626" w:rsidP="00325951">
            <w:pPr>
              <w:suppressAutoHyphens w:val="0"/>
              <w:rPr>
                <w:rFonts w:ascii="Tele-GroteskEEHal" w:hAnsi="Tele-GroteskEEHal"/>
                <w:b/>
                <w:bCs/>
                <w:color w:val="FFFFFF"/>
                <w:kern w:val="0"/>
                <w:lang w:val="hr-HR" w:eastAsia="hr-HR"/>
              </w:rPr>
            </w:pPr>
            <w:r w:rsidRPr="00325951">
              <w:rPr>
                <w:rFonts w:ascii="Tele-GroteskEEHal" w:hAnsi="Tele-GroteskEEHal"/>
                <w:b/>
                <w:bCs/>
                <w:color w:val="FFFFFF"/>
                <w:kern w:val="0"/>
                <w:sz w:val="22"/>
                <w:szCs w:val="22"/>
                <w:lang w:val="hr-HR" w:eastAsia="hr-HR"/>
              </w:rPr>
              <w:t>Prihod</w:t>
            </w:r>
          </w:p>
        </w:tc>
        <w:tc>
          <w:tcPr>
            <w:tcW w:w="1334" w:type="dxa"/>
            <w:tcBorders>
              <w:top w:val="nil"/>
              <w:left w:val="nil"/>
              <w:bottom w:val="nil"/>
              <w:right w:val="nil"/>
            </w:tcBorders>
            <w:shd w:val="clear" w:color="auto" w:fill="E20074"/>
            <w:vAlign w:val="center"/>
          </w:tcPr>
          <w:p w:rsidR="003E4626" w:rsidRPr="00325951" w:rsidRDefault="003E4626" w:rsidP="00325951">
            <w:pPr>
              <w:suppressAutoHyphens w:val="0"/>
              <w:jc w:val="right"/>
              <w:rPr>
                <w:rFonts w:ascii="Tele-GroteskEEHal" w:hAnsi="Tele-GroteskEEHal"/>
                <w:b/>
                <w:bCs/>
                <w:color w:val="FFFFFF"/>
                <w:kern w:val="0"/>
                <w:lang w:val="hr-HR" w:eastAsia="hr-HR"/>
              </w:rPr>
            </w:pPr>
            <w:r w:rsidRPr="00325951">
              <w:rPr>
                <w:rFonts w:ascii="Tele-GroteskEEHal" w:hAnsi="Tele-GroteskEEHal"/>
                <w:b/>
                <w:bCs/>
                <w:color w:val="FFFFFF"/>
                <w:kern w:val="0"/>
                <w:sz w:val="22"/>
                <w:szCs w:val="22"/>
                <w:lang w:val="hr-HR" w:eastAsia="hr-HR"/>
              </w:rPr>
              <w:t>6.092</w:t>
            </w:r>
          </w:p>
        </w:tc>
        <w:tc>
          <w:tcPr>
            <w:tcW w:w="1334" w:type="dxa"/>
            <w:tcBorders>
              <w:top w:val="nil"/>
              <w:left w:val="nil"/>
              <w:bottom w:val="nil"/>
              <w:right w:val="nil"/>
            </w:tcBorders>
            <w:shd w:val="clear" w:color="auto" w:fill="E20074"/>
            <w:vAlign w:val="center"/>
          </w:tcPr>
          <w:p w:rsidR="003E4626" w:rsidRPr="00325951" w:rsidRDefault="003E4626" w:rsidP="00325951">
            <w:pPr>
              <w:suppressAutoHyphens w:val="0"/>
              <w:jc w:val="right"/>
              <w:rPr>
                <w:rFonts w:ascii="Tele-GroteskEEHal" w:hAnsi="Tele-GroteskEEHal"/>
                <w:b/>
                <w:bCs/>
                <w:color w:val="FFFFFF"/>
                <w:kern w:val="0"/>
                <w:lang w:val="hr-HR" w:eastAsia="hr-HR"/>
              </w:rPr>
            </w:pPr>
            <w:r w:rsidRPr="00325951">
              <w:rPr>
                <w:rFonts w:ascii="Tele-GroteskEEHal" w:hAnsi="Tele-GroteskEEHal"/>
                <w:b/>
                <w:bCs/>
                <w:color w:val="FFFFFF"/>
                <w:kern w:val="0"/>
                <w:sz w:val="22"/>
                <w:szCs w:val="22"/>
                <w:lang w:val="hr-HR" w:eastAsia="hr-HR"/>
              </w:rPr>
              <w:t>6.321</w:t>
            </w:r>
          </w:p>
        </w:tc>
        <w:tc>
          <w:tcPr>
            <w:tcW w:w="1515" w:type="dxa"/>
            <w:tcBorders>
              <w:top w:val="nil"/>
              <w:left w:val="nil"/>
              <w:bottom w:val="nil"/>
              <w:right w:val="nil"/>
            </w:tcBorders>
            <w:shd w:val="clear" w:color="auto" w:fill="E20074"/>
            <w:vAlign w:val="center"/>
          </w:tcPr>
          <w:p w:rsidR="003E4626" w:rsidRPr="00325951" w:rsidRDefault="003E4626" w:rsidP="00325951">
            <w:pPr>
              <w:suppressAutoHyphens w:val="0"/>
              <w:jc w:val="right"/>
              <w:rPr>
                <w:rFonts w:ascii="Tele-GroteskEEHal" w:hAnsi="Tele-GroteskEEHal"/>
                <w:b/>
                <w:bCs/>
                <w:i/>
                <w:iCs/>
                <w:color w:val="FFFFFF"/>
                <w:kern w:val="0"/>
                <w:lang w:val="hr-HR" w:eastAsia="hr-HR"/>
              </w:rPr>
            </w:pPr>
            <w:r w:rsidRPr="00325951">
              <w:rPr>
                <w:rFonts w:ascii="Tele-GroteskEEHal" w:hAnsi="Tele-GroteskEEHal"/>
                <w:b/>
                <w:bCs/>
                <w:i/>
                <w:iCs/>
                <w:color w:val="FFFFFF"/>
                <w:kern w:val="0"/>
                <w:sz w:val="22"/>
                <w:szCs w:val="22"/>
                <w:lang w:val="hr-HR" w:eastAsia="hr-HR"/>
              </w:rPr>
              <w:t>-3,6%</w:t>
            </w:r>
          </w:p>
        </w:tc>
      </w:tr>
    </w:tbl>
    <w:p w:rsidR="003E4626" w:rsidRDefault="003E4626" w:rsidP="0092107E">
      <w:pPr>
        <w:rPr>
          <w:rFonts w:ascii="Tele-GroteskEEHal" w:hAnsi="Tele-GroteskEEHal" w:cs="Tahoma"/>
          <w:b/>
          <w:sz w:val="22"/>
          <w:szCs w:val="22"/>
          <w:lang w:val="hr-HR"/>
        </w:rPr>
      </w:pPr>
    </w:p>
    <w:p w:rsidR="003E4626" w:rsidRPr="00960D6B" w:rsidRDefault="003E4626" w:rsidP="00BA4A69">
      <w:pPr>
        <w:jc w:val="both"/>
        <w:rPr>
          <w:rFonts w:ascii="Tele-GroteskEEHal" w:hAnsi="Tele-GroteskEEHal" w:cs="Tahoma"/>
          <w:sz w:val="22"/>
          <w:szCs w:val="22"/>
          <w:lang w:val="hr-HR"/>
        </w:rPr>
      </w:pPr>
      <w:r w:rsidRPr="00960D6B">
        <w:rPr>
          <w:rFonts w:ascii="Tele-GroteskEEHal" w:hAnsi="Tele-GroteskEEHal" w:cs="Tahoma"/>
          <w:sz w:val="22"/>
          <w:szCs w:val="22"/>
          <w:lang w:val="hr-HR"/>
        </w:rPr>
        <w:t xml:space="preserve">Prihodi Grupe i dalje su pod utjecajem recesije i posebnih poreznih mjera donesenih kako bi se poboljšala financijska situacija Vlade. Oporavak hrvatskoga gospodarstva teče sporije no što se očekivalo i među najsporijima je u regiji. </w:t>
      </w:r>
    </w:p>
    <w:p w:rsidR="003E4626" w:rsidRPr="00960D6B" w:rsidRDefault="003E4626" w:rsidP="00BA4A69">
      <w:pPr>
        <w:jc w:val="both"/>
        <w:rPr>
          <w:rFonts w:ascii="Tele-GroteskEEHal" w:hAnsi="Tele-GroteskEEHal" w:cs="Tahoma"/>
          <w:sz w:val="22"/>
          <w:szCs w:val="22"/>
          <w:lang w:val="hr-HR"/>
        </w:rPr>
      </w:pPr>
    </w:p>
    <w:p w:rsidR="003E4626" w:rsidRPr="00960D6B" w:rsidRDefault="003E4626" w:rsidP="00BA4A69">
      <w:pPr>
        <w:jc w:val="both"/>
        <w:rPr>
          <w:rFonts w:ascii="Tele-GroteskEEHal" w:hAnsi="Tele-GroteskEEHal" w:cs="Tahoma"/>
          <w:sz w:val="22"/>
          <w:szCs w:val="22"/>
          <w:lang w:val="hr-HR"/>
        </w:rPr>
      </w:pPr>
      <w:r w:rsidRPr="00960D6B">
        <w:rPr>
          <w:rFonts w:ascii="Tele-GroteskEEHal" w:hAnsi="Tele-GroteskEEHal" w:cs="Tahoma"/>
          <w:sz w:val="22"/>
          <w:szCs w:val="22"/>
          <w:lang w:val="hr-HR"/>
        </w:rPr>
        <w:t>Grupa je ostvarila korist od doprinosa Combisa u iznosu od 281 milijun kuna (doprinos za pet mjeseci u razdoblju od siječnja do rujna 2010.: 110 milijuna kuna), ali su se ukupni prihodi smanjili za 3,6% na 6.092 milijuna kuna (siječanj-rujan 2010.: 6.321 milijun kuna).</w:t>
      </w:r>
    </w:p>
    <w:p w:rsidR="003E4626" w:rsidRPr="00960D6B" w:rsidRDefault="003E4626" w:rsidP="00BA4A69">
      <w:pPr>
        <w:jc w:val="both"/>
        <w:rPr>
          <w:rFonts w:ascii="Tele-GroteskEEHal" w:hAnsi="Tele-GroteskEEHal" w:cs="Tahoma"/>
          <w:sz w:val="22"/>
          <w:szCs w:val="22"/>
          <w:lang w:val="hr-HR"/>
        </w:rPr>
      </w:pPr>
    </w:p>
    <w:p w:rsidR="003E4626" w:rsidRPr="00960D6B" w:rsidRDefault="003E4626" w:rsidP="00BA4A69">
      <w:pPr>
        <w:jc w:val="both"/>
        <w:rPr>
          <w:rFonts w:ascii="Tele-GroteskEEHal" w:hAnsi="Tele-GroteskEEHal" w:cs="Tahoma"/>
          <w:sz w:val="22"/>
          <w:szCs w:val="22"/>
          <w:lang w:val="hr-HR"/>
        </w:rPr>
      </w:pPr>
      <w:r w:rsidRPr="00960D6B">
        <w:rPr>
          <w:rFonts w:ascii="Tele-GroteskEEHal" w:hAnsi="Tele-GroteskEEHal" w:cs="Tahoma"/>
          <w:sz w:val="22"/>
          <w:szCs w:val="22"/>
          <w:lang w:val="hr-HR"/>
        </w:rPr>
        <w:t xml:space="preserve">Prihodi od govornih usluga smanjili su se za 12,3% kao rezultat manjih prihoda od govornih usluga kako u Segmentu privatnih korisnika tako i u Segmentu poslovnih korisnika, pritisaka da se smanje cijene na tržištima nepokretnih i pokretnih komunikacija, manjih cijena završetka poziva i manjih prihoda od nepokretne telefonije na veleprodajnoj razini. </w:t>
      </w:r>
    </w:p>
    <w:p w:rsidR="003E4626" w:rsidRPr="00960D6B" w:rsidRDefault="003E4626" w:rsidP="00950F88">
      <w:pPr>
        <w:rPr>
          <w:rFonts w:ascii="Tele-GroteskEEHal" w:hAnsi="Tele-GroteskEEHal" w:cs="Tahoma"/>
          <w:sz w:val="22"/>
          <w:szCs w:val="22"/>
          <w:lang w:val="hr-HR"/>
        </w:rPr>
      </w:pPr>
    </w:p>
    <w:p w:rsidR="003E4626" w:rsidRPr="00960D6B" w:rsidRDefault="003E4626" w:rsidP="007E7F4E">
      <w:pPr>
        <w:rPr>
          <w:rFonts w:ascii="Tele-GroteskEEHal" w:hAnsi="Tele-GroteskEEHal" w:cs="Tahoma"/>
          <w:sz w:val="22"/>
          <w:szCs w:val="22"/>
          <w:lang w:val="hr-HR"/>
        </w:rPr>
      </w:pPr>
      <w:r w:rsidRPr="00960D6B">
        <w:rPr>
          <w:rFonts w:ascii="Tele-GroteskEEHal" w:hAnsi="Tele-GroteskEEHal" w:cs="Tahoma"/>
          <w:sz w:val="22"/>
          <w:szCs w:val="22"/>
          <w:lang w:val="hr-HR"/>
        </w:rPr>
        <w:t>Prihodi od ostalih usluga povećali su se za 106,5%, u velikoj mjeri zahvaljujući konsolidaciji Combisa.</w:t>
      </w:r>
    </w:p>
    <w:p w:rsidR="003E4626" w:rsidRPr="00960D6B" w:rsidRDefault="003E4626" w:rsidP="007E7F4E">
      <w:pPr>
        <w:rPr>
          <w:rFonts w:ascii="Tele-GroteskEEHal" w:hAnsi="Tele-GroteskEEHal" w:cs="Tahoma"/>
          <w:sz w:val="22"/>
          <w:szCs w:val="22"/>
          <w:lang w:val="hr-HR"/>
        </w:rPr>
      </w:pPr>
    </w:p>
    <w:p w:rsidR="003E4626" w:rsidRPr="00960D6B" w:rsidRDefault="003E4626" w:rsidP="007E7F4E">
      <w:pPr>
        <w:rPr>
          <w:rFonts w:ascii="Tele-GroteskEEHal" w:hAnsi="Tele-GroteskEEHal" w:cs="Tahoma"/>
          <w:sz w:val="22"/>
          <w:szCs w:val="22"/>
          <w:lang w:val="hr-HR"/>
        </w:rPr>
      </w:pPr>
      <w:r w:rsidRPr="00960D6B">
        <w:rPr>
          <w:rFonts w:ascii="Tele-GroteskEEHal" w:hAnsi="Tele-GroteskEEHal" w:cs="Tahoma"/>
          <w:sz w:val="22"/>
          <w:szCs w:val="22"/>
          <w:lang w:val="hr-HR"/>
        </w:rPr>
        <w:t>Doprinos Iskona konsolidiranim prihodima Grupe iznosio je 179 milijuna kuna (siječanj-rujan 2010.: 142 milijuna kuna) zahvaljujući rastu njegove baze pretplatnika širokopojasnih usluga i IPTV-a.</w:t>
      </w:r>
    </w:p>
    <w:p w:rsidR="003E4626" w:rsidRPr="00960D6B" w:rsidRDefault="003E4626" w:rsidP="007E7F4E">
      <w:pPr>
        <w:rPr>
          <w:rFonts w:ascii="Tele-GroteskEEHal" w:hAnsi="Tele-GroteskEEHal" w:cs="Tahoma"/>
          <w:sz w:val="22"/>
          <w:szCs w:val="22"/>
          <w:lang w:val="hr-HR"/>
        </w:rPr>
      </w:pPr>
    </w:p>
    <w:p w:rsidR="003E4626" w:rsidRPr="004B2998" w:rsidRDefault="003E4626" w:rsidP="007E7F4E">
      <w:pPr>
        <w:rPr>
          <w:rFonts w:ascii="Tele-GroteskEEHal" w:hAnsi="Tele-GroteskEEHal" w:cs="Tahoma"/>
          <w:sz w:val="22"/>
          <w:szCs w:val="22"/>
          <w:lang w:val="hr-HR"/>
        </w:rPr>
      </w:pPr>
      <w:r w:rsidRPr="00960D6B">
        <w:rPr>
          <w:rFonts w:ascii="Tele-GroteskEEHal" w:hAnsi="Tele-GroteskEEHal" w:cs="Tahoma"/>
          <w:sz w:val="22"/>
          <w:szCs w:val="22"/>
          <w:lang w:val="hr-HR"/>
        </w:rPr>
        <w:t xml:space="preserve">Prihodi od pokretne telefonije ponovno su bili pod udarom poreza na usluge u pokretnim mrežama od 6% koji je Vlada nametnula u kolovozu 2009. i koji se izravno odbija od prihoda. Utjecaj poreza od 6% </w:t>
      </w:r>
      <w:r w:rsidRPr="004B2998">
        <w:rPr>
          <w:rFonts w:ascii="Tele-GroteskEEHal" w:hAnsi="Tele-GroteskEEHal" w:cs="Tahoma"/>
          <w:sz w:val="22"/>
          <w:szCs w:val="22"/>
          <w:lang w:val="hr-HR"/>
        </w:rPr>
        <w:t>u devet mjeseci do 30. rujna 2011. iznosio je 113 milijuna kuna (siječanj-rujan 2010.: 124 milijuna kuna). Kako je navedeno gore, Vlada predlaže ukidanje ove naknade.</w:t>
      </w:r>
    </w:p>
    <w:p w:rsidR="003E4626" w:rsidRPr="004B2998" w:rsidRDefault="003E4626" w:rsidP="00221776">
      <w:pPr>
        <w:rPr>
          <w:rFonts w:ascii="Tele-GroteskEEHal" w:hAnsi="Tele-GroteskEEHal" w:cs="Tahoma"/>
          <w:sz w:val="22"/>
          <w:szCs w:val="22"/>
          <w:lang w:val="hr-HR" w:eastAsia="hr-HR"/>
        </w:rPr>
      </w:pPr>
    </w:p>
    <w:p w:rsidR="003E4626" w:rsidRPr="00960D6B" w:rsidRDefault="003E4626" w:rsidP="00221776">
      <w:pPr>
        <w:rPr>
          <w:rFonts w:ascii="Tele-GroteskEEHal" w:hAnsi="Tele-GroteskEEHal" w:cs="Tahoma"/>
          <w:b/>
          <w:sz w:val="22"/>
          <w:szCs w:val="22"/>
          <w:lang w:val="hr-HR"/>
        </w:rPr>
      </w:pPr>
    </w:p>
    <w:p w:rsidR="003E4626" w:rsidRPr="00960D6B" w:rsidRDefault="003E4626" w:rsidP="0008412C">
      <w:pPr>
        <w:jc w:val="both"/>
        <w:rPr>
          <w:rFonts w:ascii="Tele-GroteskEEHal" w:hAnsi="Tele-GroteskEEHal" w:cs="Tahoma"/>
          <w:sz w:val="22"/>
          <w:szCs w:val="22"/>
          <w:lang w:val="hr-HR"/>
        </w:rPr>
      </w:pPr>
      <w:r w:rsidRPr="00960D6B">
        <w:rPr>
          <w:rFonts w:ascii="Tele-GroteskEEHal" w:hAnsi="Tele-GroteskEEHal" w:cs="Tahoma"/>
          <w:b/>
          <w:sz w:val="22"/>
          <w:szCs w:val="22"/>
          <w:lang w:val="hr-HR"/>
        </w:rPr>
        <w:t>Troškovi redovnog poslovanja</w:t>
      </w:r>
    </w:p>
    <w:p w:rsidR="003E4626" w:rsidRPr="00960D6B" w:rsidRDefault="003E4626" w:rsidP="003819AA">
      <w:pPr>
        <w:jc w:val="both"/>
        <w:rPr>
          <w:rFonts w:ascii="Tele-GroteskEEHal" w:hAnsi="Tele-GroteskEEHal"/>
          <w:sz w:val="22"/>
          <w:szCs w:val="22"/>
          <w:lang w:val="hr-HR"/>
        </w:rPr>
      </w:pPr>
    </w:p>
    <w:p w:rsidR="003E4626" w:rsidRPr="004B2998" w:rsidRDefault="003E4626" w:rsidP="00BB5C2A">
      <w:pPr>
        <w:jc w:val="both"/>
        <w:rPr>
          <w:rFonts w:ascii="Tele-GroteskEEHal" w:hAnsi="Tele-GroteskEEHal"/>
          <w:sz w:val="22"/>
          <w:szCs w:val="22"/>
          <w:lang w:val="hr-HR"/>
        </w:rPr>
      </w:pPr>
      <w:r w:rsidRPr="00960D6B">
        <w:rPr>
          <w:rFonts w:ascii="Tele-GroteskEEHal" w:hAnsi="Tele-GroteskEEHal"/>
          <w:sz w:val="22"/>
          <w:szCs w:val="22"/>
          <w:lang w:val="hr-HR"/>
        </w:rPr>
        <w:t>Ukupni konsolidirani troškovi redovnog poslovanja prije amortizacije smanjili su se za 2,5% na 3.478 milijuna kuna u 2011. u odnosu na 3.567 milijuna kuna u 2010. Manji troškovi redovnog poslovanja ostvareni su u prvom redu zahvaljujuć</w:t>
      </w:r>
      <w:r w:rsidRPr="004B2998">
        <w:rPr>
          <w:rFonts w:ascii="Tele-GroteskEEHal" w:hAnsi="Tele-GroteskEEHal"/>
          <w:sz w:val="22"/>
          <w:szCs w:val="22"/>
          <w:lang w:val="hr-HR"/>
        </w:rPr>
        <w:t>i provedbi brojnih inicijativa za kontrolu troškova, padu troškova telekomunikacijskih usluga i smanjenju vrijednosnog usklađenja imovine, što je i više nego neutraliziralo konsolidaciju troškova Combisa za punih devet mjeseci od siječnja do rujna 2011. i veće troškove  trgovačke robe povezane s promocijom usluga pokretnih komunikacija.</w:t>
      </w:r>
    </w:p>
    <w:p w:rsidR="003E4626" w:rsidRPr="004B2998" w:rsidRDefault="003E4626" w:rsidP="00BB5C2A">
      <w:pPr>
        <w:jc w:val="both"/>
        <w:rPr>
          <w:rFonts w:ascii="Tele-GroteskEEHal" w:hAnsi="Tele-GroteskEEHal"/>
          <w:sz w:val="22"/>
          <w:szCs w:val="22"/>
          <w:lang w:val="hr-HR"/>
        </w:rPr>
      </w:pPr>
    </w:p>
    <w:p w:rsidR="003E4626" w:rsidRPr="004B2998" w:rsidRDefault="003E4626" w:rsidP="00BB5C2A">
      <w:pPr>
        <w:jc w:val="both"/>
        <w:rPr>
          <w:rFonts w:ascii="Tele-GroteskEEHal" w:hAnsi="Tele-GroteskEEHal"/>
          <w:sz w:val="22"/>
          <w:szCs w:val="22"/>
          <w:lang w:val="hr-HR"/>
        </w:rPr>
      </w:pPr>
      <w:r w:rsidRPr="004B2998">
        <w:rPr>
          <w:rFonts w:ascii="Tele-GroteskEEHal" w:hAnsi="Tele-GroteskEEHal"/>
          <w:sz w:val="22"/>
          <w:szCs w:val="22"/>
          <w:lang w:val="hr-HR"/>
        </w:rPr>
        <w:t>Materijalni su se troškovi povećali za 1% na 1.645 milijuna kuna (siječanj-rujan 2010.: 1.628 milijuna kuna). Manji troškovi telekomunikacijskih usluga bili su i više nego neutralizirani većim troškovima trgovačke robe kao rezultat jake promocije pokretnih komunikacija na početku godine. Promjena poslovnog modela/računovodstvenog tretmana korisničke opreme (CPE) od 1. rujna 2010. rezultirala je smanjenjem troškova trgovačke robe u razdoblju od siječnja do rujna 2011. u iznosu od 112 milijuna kuna (siječanj-rujan 2010.: 14 milijuna kuna), što je i više nego neutralizirano konsolidacijom troškova Combisa.</w:t>
      </w:r>
    </w:p>
    <w:p w:rsidR="003E4626" w:rsidRPr="004B2998" w:rsidRDefault="003E4626" w:rsidP="00BB5C2A">
      <w:pPr>
        <w:jc w:val="both"/>
        <w:rPr>
          <w:rFonts w:ascii="Tele-GroteskEEHal" w:hAnsi="Tele-GroteskEEHal"/>
          <w:sz w:val="22"/>
          <w:szCs w:val="22"/>
          <w:lang w:val="hr-HR"/>
        </w:rPr>
      </w:pPr>
    </w:p>
    <w:p w:rsidR="003E4626" w:rsidRPr="00960D6B" w:rsidRDefault="003E4626" w:rsidP="00BB5C2A">
      <w:pPr>
        <w:jc w:val="both"/>
        <w:rPr>
          <w:rFonts w:ascii="Tele-GroteskEEHal" w:hAnsi="Tele-GroteskEEHal"/>
          <w:sz w:val="22"/>
          <w:szCs w:val="22"/>
          <w:lang w:val="hr-HR"/>
        </w:rPr>
      </w:pPr>
      <w:r w:rsidRPr="00960D6B">
        <w:rPr>
          <w:rFonts w:ascii="Tele-GroteskEEHal" w:hAnsi="Tele-GroteskEEHal"/>
          <w:sz w:val="22"/>
          <w:szCs w:val="22"/>
          <w:lang w:val="hr-HR"/>
        </w:rPr>
        <w:t>Ukupni su se troškovi zaposlenika smanjili za 1,8% na 860 milijuna kuna u razdoblju od siječnja do rujna 2011. u odnosu na 876 milijuna kuna u razdoblju od siječnja do rujna 2010., usprkos konsolidaciji troškova Combisa za punih devet mjeseci razdoblja. Broj zaposlenika ekvivalenata punom radnom vremenu u Grupi smanjio se na 6.066 u rujnu 2011. sa 6.251 u rujnu 2010., u prvom redu kao rezultat stalnog programa racionalizacije poslovnih procesa i unaprjeđenja učinkovitosti.</w:t>
      </w:r>
    </w:p>
    <w:p w:rsidR="003E4626" w:rsidRPr="00960D6B" w:rsidRDefault="003E4626" w:rsidP="00BB5C2A">
      <w:pPr>
        <w:jc w:val="both"/>
        <w:rPr>
          <w:rFonts w:ascii="Tele-GroteskEEHal" w:hAnsi="Tele-GroteskEEHal"/>
          <w:sz w:val="22"/>
          <w:szCs w:val="22"/>
          <w:lang w:val="hr-HR"/>
        </w:rPr>
      </w:pPr>
    </w:p>
    <w:p w:rsidR="003E4626" w:rsidRPr="00960D6B" w:rsidRDefault="003E4626" w:rsidP="00BB5C2A">
      <w:pPr>
        <w:jc w:val="both"/>
        <w:rPr>
          <w:rFonts w:ascii="Tele-GroteskEEHal" w:hAnsi="Tele-GroteskEEHal"/>
          <w:sz w:val="22"/>
          <w:szCs w:val="22"/>
          <w:lang w:val="hr-HR"/>
        </w:rPr>
      </w:pPr>
      <w:r w:rsidRPr="00960D6B">
        <w:rPr>
          <w:rFonts w:ascii="Tele-GroteskEEHal" w:hAnsi="Tele-GroteskEEHal"/>
          <w:sz w:val="22"/>
          <w:szCs w:val="22"/>
          <w:lang w:val="hr-HR"/>
        </w:rPr>
        <w:t>Ostali su se troškovi smanjili za 5,2% na 975 milijuna kuna (siječanj-rujan 2010.: 1.028 milijuna kuna), u prvom redu zahvaljujući manjim troškovima održavanja i oglašavanja.</w:t>
      </w:r>
    </w:p>
    <w:p w:rsidR="003E4626" w:rsidRPr="00960D6B" w:rsidRDefault="003E4626" w:rsidP="00BB5C2A">
      <w:pPr>
        <w:jc w:val="both"/>
        <w:rPr>
          <w:rFonts w:ascii="Tele-GroteskEEHal" w:hAnsi="Tele-GroteskEEHal"/>
          <w:sz w:val="22"/>
          <w:szCs w:val="22"/>
          <w:lang w:val="hr-HR"/>
        </w:rPr>
      </w:pPr>
    </w:p>
    <w:p w:rsidR="003E4626" w:rsidRPr="00960D6B" w:rsidRDefault="003E4626" w:rsidP="00BB5C2A">
      <w:pPr>
        <w:jc w:val="both"/>
        <w:rPr>
          <w:rFonts w:ascii="Tele-GroteskEEHal" w:hAnsi="Tele-GroteskEEHal"/>
          <w:sz w:val="22"/>
          <w:szCs w:val="22"/>
          <w:lang w:val="hr-HR"/>
        </w:rPr>
      </w:pPr>
      <w:r w:rsidRPr="00960D6B">
        <w:rPr>
          <w:rFonts w:ascii="Tele-GroteskEEHal" w:hAnsi="Tele-GroteskEEHal"/>
          <w:sz w:val="22"/>
          <w:szCs w:val="22"/>
          <w:lang w:val="hr-HR"/>
        </w:rPr>
        <w:t>Vrijednosno usklađenje imovine smanjilo se za 46,3% na 48 milijuna kuna (siječanj-rujan 2010.: 89 milijuna kuna) nakon poboljšanja naplate potraživanja i postupka opominjanja.</w:t>
      </w:r>
    </w:p>
    <w:p w:rsidR="003E4626" w:rsidRPr="00960D6B" w:rsidRDefault="003E4626" w:rsidP="00BB5C2A">
      <w:pPr>
        <w:jc w:val="both"/>
        <w:rPr>
          <w:rFonts w:ascii="Tele-GroteskEEHal" w:hAnsi="Tele-GroteskEEHal"/>
          <w:sz w:val="22"/>
          <w:szCs w:val="22"/>
          <w:lang w:val="hr-HR"/>
        </w:rPr>
      </w:pPr>
    </w:p>
    <w:p w:rsidR="003E4626" w:rsidRPr="00960D6B" w:rsidRDefault="003E4626" w:rsidP="00BB5C2A">
      <w:pPr>
        <w:jc w:val="both"/>
        <w:rPr>
          <w:rFonts w:ascii="Tele-GroteskEEHal" w:hAnsi="Tele-GroteskEEHal"/>
          <w:sz w:val="22"/>
          <w:szCs w:val="22"/>
          <w:lang w:val="hr-HR"/>
        </w:rPr>
      </w:pPr>
      <w:r w:rsidRPr="00960D6B">
        <w:rPr>
          <w:rFonts w:ascii="Tele-GroteskEEHal" w:hAnsi="Tele-GroteskEEHal"/>
          <w:sz w:val="22"/>
          <w:szCs w:val="22"/>
          <w:lang w:val="hr-HR"/>
        </w:rPr>
        <w:t>Amortizacija se povećala za 1,7% na 1.005 milijuna kuna (siječanj-rujan 2010.: 988 milijuna kuna).</w:t>
      </w:r>
    </w:p>
    <w:p w:rsidR="003E4626" w:rsidRPr="00960D6B" w:rsidRDefault="003E4626" w:rsidP="003819AA">
      <w:pPr>
        <w:jc w:val="both"/>
        <w:rPr>
          <w:rFonts w:ascii="Tele-GroteskEEHal" w:hAnsi="Tele-GroteskEEHal"/>
          <w:sz w:val="22"/>
          <w:szCs w:val="22"/>
          <w:lang w:val="hr-HR"/>
        </w:rPr>
      </w:pPr>
    </w:p>
    <w:p w:rsidR="003E4626" w:rsidRDefault="003E4626" w:rsidP="0008412C">
      <w:pPr>
        <w:jc w:val="both"/>
        <w:rPr>
          <w:rFonts w:ascii="Tele-GroteskEEHal" w:hAnsi="Tele-GroteskEEHal" w:cs="Tahoma"/>
          <w:sz w:val="22"/>
          <w:szCs w:val="22"/>
          <w:lang w:val="hr-HR"/>
        </w:rPr>
      </w:pPr>
    </w:p>
    <w:p w:rsidR="003E4626" w:rsidRDefault="003E4626" w:rsidP="0008412C">
      <w:pPr>
        <w:jc w:val="both"/>
        <w:outlineLvl w:val="0"/>
        <w:rPr>
          <w:rFonts w:ascii="Tele-GroteskEEHal" w:hAnsi="Tele-GroteskEEHal" w:cs="Arial"/>
          <w:b/>
          <w:bCs/>
          <w:lang w:val="hr-HR"/>
        </w:rPr>
      </w:pPr>
      <w:r w:rsidRPr="00960D6B">
        <w:rPr>
          <w:rFonts w:ascii="Tele-GroteskEEHal" w:hAnsi="Tele-GroteskEEHal" w:cs="Arial"/>
          <w:b/>
          <w:bCs/>
          <w:lang w:val="hr-HR"/>
        </w:rPr>
        <w:t>Profitabilnost Grupe T-HT</w:t>
      </w:r>
    </w:p>
    <w:p w:rsidR="003E4626" w:rsidRDefault="003E4626" w:rsidP="0008412C">
      <w:pPr>
        <w:jc w:val="both"/>
        <w:outlineLvl w:val="0"/>
        <w:rPr>
          <w:rFonts w:ascii="Tele-GroteskEEHal" w:hAnsi="Tele-GroteskEEHal" w:cs="Arial"/>
          <w:b/>
          <w:bCs/>
          <w:lang w:val="hr-HR"/>
        </w:rPr>
      </w:pPr>
    </w:p>
    <w:tbl>
      <w:tblPr>
        <w:tblW w:w="8400" w:type="dxa"/>
        <w:tblInd w:w="108" w:type="dxa"/>
        <w:tblLook w:val="0000"/>
      </w:tblPr>
      <w:tblGrid>
        <w:gridCol w:w="4216"/>
        <w:gridCol w:w="1295"/>
        <w:gridCol w:w="1295"/>
        <w:gridCol w:w="1594"/>
      </w:tblGrid>
      <w:tr w:rsidR="003E4626" w:rsidRPr="00282168" w:rsidTr="00282168">
        <w:trPr>
          <w:trHeight w:val="702"/>
        </w:trPr>
        <w:tc>
          <w:tcPr>
            <w:tcW w:w="4216" w:type="dxa"/>
            <w:tcBorders>
              <w:top w:val="nil"/>
              <w:left w:val="nil"/>
              <w:bottom w:val="nil"/>
              <w:right w:val="nil"/>
            </w:tcBorders>
            <w:shd w:val="clear" w:color="auto" w:fill="E20074"/>
            <w:noWrap/>
            <w:vAlign w:val="center"/>
          </w:tcPr>
          <w:p w:rsidR="003E4626" w:rsidRPr="00282168" w:rsidRDefault="003E4626" w:rsidP="00282168">
            <w:pPr>
              <w:suppressAutoHyphens w:val="0"/>
              <w:rPr>
                <w:rFonts w:ascii="Tele-GroteskEEHal" w:hAnsi="Tele-GroteskEEHal"/>
                <w:b/>
                <w:bCs/>
                <w:color w:val="FFFFFF"/>
                <w:kern w:val="0"/>
                <w:lang w:val="hr-HR" w:eastAsia="hr-HR"/>
              </w:rPr>
            </w:pPr>
            <w:r w:rsidRPr="00282168">
              <w:rPr>
                <w:rFonts w:ascii="Tele-GroteskEEHal" w:hAnsi="Tele-GroteskEEHal"/>
                <w:b/>
                <w:bCs/>
                <w:color w:val="FFFFFF"/>
                <w:kern w:val="0"/>
                <w:sz w:val="22"/>
                <w:szCs w:val="22"/>
                <w:lang w:val="hr-HR" w:eastAsia="hr-HR"/>
              </w:rPr>
              <w:t>u milijunima kuna</w:t>
            </w:r>
          </w:p>
        </w:tc>
        <w:tc>
          <w:tcPr>
            <w:tcW w:w="1295" w:type="dxa"/>
            <w:tcBorders>
              <w:top w:val="nil"/>
              <w:left w:val="nil"/>
              <w:bottom w:val="nil"/>
              <w:right w:val="nil"/>
            </w:tcBorders>
            <w:shd w:val="clear" w:color="auto" w:fill="E20074"/>
            <w:vAlign w:val="center"/>
          </w:tcPr>
          <w:p w:rsidR="003E4626" w:rsidRPr="00282168" w:rsidRDefault="003E4626" w:rsidP="00282168">
            <w:pPr>
              <w:suppressAutoHyphens w:val="0"/>
              <w:jc w:val="right"/>
              <w:rPr>
                <w:rFonts w:ascii="Tele-GroteskEEHal" w:hAnsi="Tele-GroteskEEHal"/>
                <w:b/>
                <w:bCs/>
                <w:color w:val="FFFFFF"/>
                <w:kern w:val="0"/>
                <w:lang w:val="hr-HR" w:eastAsia="hr-HR"/>
              </w:rPr>
            </w:pPr>
            <w:r w:rsidRPr="00282168">
              <w:rPr>
                <w:rFonts w:ascii="Tele-GroteskEEHal" w:hAnsi="Tele-GroteskEEHal"/>
                <w:b/>
                <w:bCs/>
                <w:color w:val="FFFFFF"/>
                <w:kern w:val="0"/>
                <w:sz w:val="22"/>
                <w:szCs w:val="22"/>
                <w:lang w:val="hr-HR" w:eastAsia="hr-HR"/>
              </w:rPr>
              <w:t>Sij.-Ruj.</w:t>
            </w:r>
            <w:r w:rsidRPr="00282168">
              <w:rPr>
                <w:rFonts w:ascii="Tele-GroteskEEHal" w:hAnsi="Tele-GroteskEEHal"/>
                <w:b/>
                <w:bCs/>
                <w:color w:val="FFFFFF"/>
                <w:kern w:val="0"/>
                <w:sz w:val="22"/>
                <w:szCs w:val="22"/>
                <w:lang w:val="hr-HR" w:eastAsia="hr-HR"/>
              </w:rPr>
              <w:br/>
              <w:t>2011.</w:t>
            </w:r>
          </w:p>
        </w:tc>
        <w:tc>
          <w:tcPr>
            <w:tcW w:w="1295" w:type="dxa"/>
            <w:tcBorders>
              <w:top w:val="nil"/>
              <w:left w:val="nil"/>
              <w:bottom w:val="nil"/>
              <w:right w:val="nil"/>
            </w:tcBorders>
            <w:shd w:val="clear" w:color="auto" w:fill="E20074"/>
            <w:vAlign w:val="center"/>
          </w:tcPr>
          <w:p w:rsidR="003E4626" w:rsidRPr="00282168" w:rsidRDefault="003E4626" w:rsidP="00282168">
            <w:pPr>
              <w:suppressAutoHyphens w:val="0"/>
              <w:jc w:val="right"/>
              <w:rPr>
                <w:rFonts w:ascii="Tele-GroteskEEHal" w:hAnsi="Tele-GroteskEEHal"/>
                <w:b/>
                <w:bCs/>
                <w:color w:val="FFFFFF"/>
                <w:kern w:val="0"/>
                <w:lang w:val="hr-HR" w:eastAsia="hr-HR"/>
              </w:rPr>
            </w:pPr>
            <w:r w:rsidRPr="00282168">
              <w:rPr>
                <w:rFonts w:ascii="Tele-GroteskEEHal" w:hAnsi="Tele-GroteskEEHal"/>
                <w:b/>
                <w:bCs/>
                <w:color w:val="FFFFFF"/>
                <w:kern w:val="0"/>
                <w:sz w:val="22"/>
                <w:szCs w:val="22"/>
                <w:lang w:val="hr-HR" w:eastAsia="hr-HR"/>
              </w:rPr>
              <w:t>Sij.-Ruj.</w:t>
            </w:r>
            <w:r w:rsidRPr="00282168">
              <w:rPr>
                <w:rFonts w:ascii="Tele-GroteskEEHal" w:hAnsi="Tele-GroteskEEHal"/>
                <w:b/>
                <w:bCs/>
                <w:color w:val="FFFFFF"/>
                <w:kern w:val="0"/>
                <w:sz w:val="22"/>
                <w:szCs w:val="22"/>
                <w:lang w:val="hr-HR" w:eastAsia="hr-HR"/>
              </w:rPr>
              <w:br/>
              <w:t>2010.</w:t>
            </w:r>
          </w:p>
        </w:tc>
        <w:tc>
          <w:tcPr>
            <w:tcW w:w="1594" w:type="dxa"/>
            <w:tcBorders>
              <w:top w:val="nil"/>
              <w:left w:val="nil"/>
              <w:bottom w:val="nil"/>
              <w:right w:val="nil"/>
            </w:tcBorders>
            <w:shd w:val="clear" w:color="auto" w:fill="E20074"/>
            <w:vAlign w:val="center"/>
          </w:tcPr>
          <w:p w:rsidR="003E4626" w:rsidRPr="00282168" w:rsidRDefault="003E4626" w:rsidP="00282168">
            <w:pPr>
              <w:suppressAutoHyphens w:val="0"/>
              <w:jc w:val="right"/>
              <w:rPr>
                <w:rFonts w:ascii="Tele-GroteskEEHal" w:hAnsi="Tele-GroteskEEHal"/>
                <w:b/>
                <w:bCs/>
                <w:i/>
                <w:iCs/>
                <w:color w:val="FFFFFF"/>
                <w:kern w:val="0"/>
                <w:lang w:val="hr-HR" w:eastAsia="hr-HR"/>
              </w:rPr>
            </w:pPr>
            <w:r w:rsidRPr="00282168">
              <w:rPr>
                <w:rFonts w:ascii="Tele-GroteskEEHal" w:hAnsi="Tele-GroteskEEHal"/>
                <w:b/>
                <w:bCs/>
                <w:i/>
                <w:iCs/>
                <w:color w:val="FFFFFF"/>
                <w:kern w:val="0"/>
                <w:sz w:val="22"/>
                <w:szCs w:val="22"/>
                <w:lang w:val="hr-HR" w:eastAsia="hr-HR"/>
              </w:rPr>
              <w:t xml:space="preserve">% promjene </w:t>
            </w:r>
            <w:r w:rsidRPr="00282168">
              <w:rPr>
                <w:rFonts w:ascii="Tele-GroteskEEHal" w:hAnsi="Tele-GroteskEEHal"/>
                <w:b/>
                <w:bCs/>
                <w:i/>
                <w:iCs/>
                <w:color w:val="FFFFFF"/>
                <w:kern w:val="0"/>
                <w:sz w:val="22"/>
                <w:szCs w:val="22"/>
                <w:lang w:val="hr-HR" w:eastAsia="hr-HR"/>
              </w:rPr>
              <w:br/>
              <w:t>11/10</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Ukupni prihod</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6.092</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6.321</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-3,6%</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EBITDA prije jednokratnih stavki</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2.799</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2.858</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-2,1%</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EBITDA nakon jednokratnih stavki</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2.799</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2.858</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-2,1%</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EBIT (dobit iz redovnog poslovanja)</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1.794</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1.870</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-4,0%</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Neto dobit nakon manjinskog interesa</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1.483</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1.484</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-0,1%</w:t>
            </w:r>
          </w:p>
        </w:tc>
      </w:tr>
      <w:tr w:rsidR="003E4626" w:rsidRPr="00282168" w:rsidTr="00282168">
        <w:trPr>
          <w:trHeight w:val="199"/>
        </w:trPr>
        <w:tc>
          <w:tcPr>
            <w:tcW w:w="4216" w:type="dxa"/>
            <w:tcBorders>
              <w:top w:val="nil"/>
              <w:left w:val="nil"/>
              <w:bottom w:val="nil"/>
              <w:right w:val="nil"/>
            </w:tcBorders>
            <w:shd w:val="clear" w:color="auto" w:fill="E20074"/>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E20074"/>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 </w:t>
            </w:r>
          </w:p>
        </w:tc>
        <w:tc>
          <w:tcPr>
            <w:tcW w:w="1295" w:type="dxa"/>
            <w:tcBorders>
              <w:top w:val="nil"/>
              <w:left w:val="nil"/>
              <w:bottom w:val="nil"/>
              <w:right w:val="nil"/>
            </w:tcBorders>
            <w:shd w:val="clear" w:color="auto" w:fill="E20074"/>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 </w:t>
            </w:r>
          </w:p>
        </w:tc>
        <w:tc>
          <w:tcPr>
            <w:tcW w:w="1594" w:type="dxa"/>
            <w:tcBorders>
              <w:top w:val="nil"/>
              <w:left w:val="nil"/>
              <w:bottom w:val="nil"/>
              <w:right w:val="nil"/>
            </w:tcBorders>
            <w:shd w:val="clear" w:color="auto" w:fill="E20074"/>
            <w:noWrap/>
            <w:vAlign w:val="center"/>
          </w:tcPr>
          <w:p w:rsidR="003E4626" w:rsidRPr="00282168" w:rsidRDefault="003E4626" w:rsidP="00282168">
            <w:pPr>
              <w:suppressAutoHyphens w:val="0"/>
              <w:rPr>
                <w:rFonts w:ascii="Tele-GroteskEEHal" w:hAnsi="Tele-GroteskEEHal"/>
                <w:i/>
                <w:iCs/>
                <w:kern w:val="0"/>
                <w:lang w:val="hr-HR" w:eastAsia="hr-HR"/>
              </w:rPr>
            </w:pPr>
            <w:r w:rsidRPr="00282168">
              <w:rPr>
                <w:rFonts w:ascii="Tele-GroteskEEHal" w:hAnsi="Tele-GroteskEEHal"/>
                <w:i/>
                <w:iCs/>
                <w:kern w:val="0"/>
                <w:sz w:val="22"/>
                <w:szCs w:val="22"/>
                <w:lang w:val="hr-HR" w:eastAsia="hr-HR"/>
              </w:rPr>
              <w:t> </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Marža EBITDA-e prije jednokratnih stavki</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46,0%</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45,2%</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0,7 p.p.</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Marža EBITDA-e nakon jednokratnih stavki</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46,0%</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45,2%</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0,7 p.p.</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Marža EBIT-a</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29,5%</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29,6%</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-0,1 p.p.</w:t>
            </w:r>
          </w:p>
        </w:tc>
      </w:tr>
      <w:tr w:rsidR="003E4626" w:rsidRPr="00282168" w:rsidTr="00282168">
        <w:trPr>
          <w:trHeight w:val="342"/>
        </w:trPr>
        <w:tc>
          <w:tcPr>
            <w:tcW w:w="4216" w:type="dxa"/>
            <w:tcBorders>
              <w:top w:val="nil"/>
              <w:left w:val="nil"/>
              <w:bottom w:val="nil"/>
              <w:right w:val="nil"/>
            </w:tcBorders>
            <w:noWrap/>
            <w:vAlign w:val="center"/>
          </w:tcPr>
          <w:p w:rsidR="003E4626" w:rsidRPr="00282168" w:rsidRDefault="003E4626" w:rsidP="00282168">
            <w:pPr>
              <w:suppressAutoHyphens w:val="0"/>
              <w:rPr>
                <w:rFonts w:ascii="Tele-GroteskEEHal" w:hAnsi="Tele-GroteskEEHal"/>
                <w:kern w:val="0"/>
                <w:lang w:val="hr-HR" w:eastAsia="hr-HR"/>
              </w:rPr>
            </w:pPr>
            <w:r w:rsidRPr="00282168">
              <w:rPr>
                <w:rFonts w:ascii="Tele-GroteskEEHal" w:hAnsi="Tele-GroteskEEHal"/>
                <w:kern w:val="0"/>
                <w:sz w:val="22"/>
                <w:szCs w:val="22"/>
                <w:lang w:val="hr-HR" w:eastAsia="hr-HR"/>
              </w:rPr>
              <w:t>Marža neto dobiti</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24,3%</w:t>
            </w:r>
          </w:p>
        </w:tc>
        <w:tc>
          <w:tcPr>
            <w:tcW w:w="1295"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kern w:val="0"/>
                <w:lang w:val="hr-HR" w:eastAsia="hr-HR"/>
              </w:rPr>
            </w:pPr>
            <w:r w:rsidRPr="00282168">
              <w:rPr>
                <w:rFonts w:ascii="Tele-GroteskEEHal" w:hAnsi="Tele-GroteskEEHal"/>
                <w:kern w:val="0"/>
                <w:sz w:val="22"/>
                <w:szCs w:val="22"/>
                <w:lang w:val="hr-HR" w:eastAsia="hr-HR"/>
              </w:rPr>
              <w:t>23,5%</w:t>
            </w:r>
          </w:p>
        </w:tc>
        <w:tc>
          <w:tcPr>
            <w:tcW w:w="1594" w:type="dxa"/>
            <w:tcBorders>
              <w:top w:val="nil"/>
              <w:left w:val="nil"/>
              <w:bottom w:val="nil"/>
              <w:right w:val="nil"/>
            </w:tcBorders>
            <w:noWrap/>
            <w:vAlign w:val="center"/>
          </w:tcPr>
          <w:p w:rsidR="003E4626" w:rsidRPr="00282168" w:rsidRDefault="003E4626" w:rsidP="00282168">
            <w:pPr>
              <w:suppressAutoHyphens w:val="0"/>
              <w:jc w:val="right"/>
              <w:rPr>
                <w:rFonts w:ascii="Tele-GroteskEEHal" w:hAnsi="Tele-GroteskEEHal"/>
                <w:i/>
                <w:iCs/>
                <w:kern w:val="0"/>
                <w:lang w:val="hr-HR" w:eastAsia="hr-HR"/>
              </w:rPr>
            </w:pPr>
            <w:r w:rsidRPr="00282168">
              <w:rPr>
                <w:rFonts w:ascii="Tele-GroteskEEHal" w:hAnsi="Tele-GroteskEEHal"/>
                <w:i/>
                <w:iCs/>
                <w:kern w:val="0"/>
                <w:sz w:val="22"/>
                <w:szCs w:val="22"/>
                <w:lang w:val="hr-HR" w:eastAsia="hr-HR"/>
              </w:rPr>
              <w:t>0,9 p.p.</w:t>
            </w:r>
          </w:p>
        </w:tc>
      </w:tr>
    </w:tbl>
    <w:p w:rsidR="003E4626" w:rsidRDefault="003E4626" w:rsidP="0008412C">
      <w:pPr>
        <w:jc w:val="both"/>
        <w:outlineLvl w:val="0"/>
        <w:rPr>
          <w:rFonts w:ascii="Tele-GroteskEEHal" w:hAnsi="Tele-GroteskEEHal" w:cs="Arial"/>
          <w:b/>
          <w:bCs/>
          <w:lang w:val="hr-HR"/>
        </w:rPr>
      </w:pPr>
    </w:p>
    <w:p w:rsidR="003E4626" w:rsidRPr="00960D6B" w:rsidRDefault="003E4626" w:rsidP="003C5F28">
      <w:pPr>
        <w:jc w:val="both"/>
        <w:outlineLvl w:val="0"/>
        <w:rPr>
          <w:rFonts w:ascii="Tele-GroteskEEHal" w:hAnsi="Tele-GroteskEEHal" w:cs="Arial"/>
          <w:bCs/>
          <w:lang w:val="hr-HR"/>
        </w:rPr>
      </w:pPr>
      <w:r w:rsidRPr="00960D6B">
        <w:rPr>
          <w:rFonts w:ascii="Tele-GroteskEEHal" w:hAnsi="Tele-GroteskEEHal" w:cs="Tahoma"/>
          <w:kern w:val="0"/>
          <w:sz w:val="22"/>
          <w:szCs w:val="22"/>
          <w:lang w:val="hr-HR" w:eastAsia="hr-HR"/>
        </w:rPr>
        <w:t>EBITDA se smanjila za 2,1% na 2.799 milijuna kuna (siječanj-rujan 2010.: 2.858 milijuna kuna). Marža EBITDA-e povećala se na 46,0% (siječanj-rujan 2010.: 45,2%) budući da je EBITDA padala sporije od prihoda, kako je gore prikazano.</w:t>
      </w:r>
    </w:p>
    <w:p w:rsidR="003E4626" w:rsidRPr="00960D6B" w:rsidRDefault="003E4626" w:rsidP="003C5F28">
      <w:pPr>
        <w:jc w:val="both"/>
        <w:outlineLvl w:val="0"/>
        <w:rPr>
          <w:rFonts w:ascii="Tele-GroteskEEHal" w:hAnsi="Tele-GroteskEEHal" w:cs="Arial"/>
          <w:bCs/>
          <w:lang w:val="hr-HR"/>
        </w:rPr>
      </w:pPr>
    </w:p>
    <w:p w:rsidR="003E4626" w:rsidRPr="004B2998" w:rsidRDefault="003E4626" w:rsidP="003C5F28">
      <w:pPr>
        <w:jc w:val="both"/>
        <w:outlineLvl w:val="0"/>
        <w:rPr>
          <w:rFonts w:ascii="Tele-GroteskEEHal" w:hAnsi="Tele-GroteskEEHal" w:cs="Arial"/>
          <w:bCs/>
          <w:lang w:val="hr-HR"/>
        </w:rPr>
      </w:pPr>
      <w:r w:rsidRPr="00960D6B">
        <w:rPr>
          <w:rFonts w:ascii="Tele-GroteskEEHal" w:hAnsi="Tele-GroteskEEHal" w:cs="Tahoma"/>
          <w:kern w:val="0"/>
          <w:sz w:val="22"/>
          <w:szCs w:val="22"/>
          <w:lang w:val="hr-HR" w:eastAsia="hr-HR"/>
        </w:rPr>
        <w:t xml:space="preserve">Dobit iz redovnog poslovanja (EBIT) smanjila se za 4,0% na 1.794 milijuna kuna (siječanj-rujan 2010.: </w:t>
      </w:r>
      <w:r w:rsidRPr="004B2998">
        <w:rPr>
          <w:rFonts w:ascii="Tele-GroteskEEHal" w:hAnsi="Tele-GroteskEEHal" w:cs="Tahoma"/>
          <w:kern w:val="0"/>
          <w:sz w:val="22"/>
          <w:szCs w:val="22"/>
          <w:lang w:val="hr-HR" w:eastAsia="hr-HR"/>
        </w:rPr>
        <w:t>1.870 milijuna kuna).</w:t>
      </w:r>
    </w:p>
    <w:p w:rsidR="003E4626" w:rsidRPr="004B2998" w:rsidRDefault="003E4626" w:rsidP="003C5F28">
      <w:pPr>
        <w:jc w:val="both"/>
        <w:outlineLvl w:val="0"/>
        <w:rPr>
          <w:rFonts w:ascii="Tele-GroteskEEHal" w:hAnsi="Tele-GroteskEEHal" w:cs="Arial"/>
          <w:bCs/>
          <w:lang w:val="hr-HR"/>
        </w:rPr>
      </w:pPr>
    </w:p>
    <w:p w:rsidR="003E4626" w:rsidRPr="00960D6B" w:rsidRDefault="003E4626" w:rsidP="003C5F28">
      <w:pPr>
        <w:jc w:val="both"/>
        <w:rPr>
          <w:rFonts w:ascii="Tele-GroteskEEHal" w:hAnsi="Tele-GroteskEEHal" w:cs="Tahoma"/>
          <w:sz w:val="22"/>
          <w:szCs w:val="22"/>
          <w:lang w:val="hr-HR"/>
        </w:rPr>
      </w:pPr>
      <w:r w:rsidRPr="004B2998">
        <w:rPr>
          <w:rFonts w:ascii="Tele-GroteskEEHal" w:hAnsi="Tele-GroteskEEHal" w:cs="Tahoma"/>
          <w:sz w:val="22"/>
          <w:szCs w:val="22"/>
          <w:lang w:val="hr-HR"/>
        </w:rPr>
        <w:t>Neto dobit gotovo ista i iznosi 1.483 milijuna kuna (</w:t>
      </w:r>
      <w:r w:rsidRPr="004B2998">
        <w:rPr>
          <w:rFonts w:ascii="Tele-GroteskEEHal" w:hAnsi="Tele-GroteskEEHal" w:cs="Tahoma"/>
          <w:kern w:val="0"/>
          <w:sz w:val="22"/>
          <w:szCs w:val="22"/>
          <w:lang w:val="hr-HR" w:eastAsia="hr-HR"/>
        </w:rPr>
        <w:t xml:space="preserve">siječanj-rujan </w:t>
      </w:r>
      <w:r w:rsidRPr="004B2998">
        <w:rPr>
          <w:rFonts w:ascii="Tele-GroteskEEHal" w:hAnsi="Tele-GroteskEEHal" w:cs="Tahoma"/>
          <w:sz w:val="22"/>
          <w:szCs w:val="22"/>
          <w:lang w:val="hr-HR"/>
        </w:rPr>
        <w:t>2010.: 1.484 milijuna kuna) jer je manji EBIT neutraliziran izostankom prošlogodišnje jednokratne naknade vezane uz uključenost u HT Mostar (</w:t>
      </w:r>
      <w:r w:rsidRPr="004B2998">
        <w:rPr>
          <w:rFonts w:ascii="Tele-GroteskEEHal" w:hAnsi="Tele-GroteskEEHal" w:cs="Tahoma"/>
          <w:kern w:val="0"/>
          <w:sz w:val="22"/>
          <w:szCs w:val="22"/>
          <w:lang w:val="hr-HR" w:eastAsia="hr-HR"/>
        </w:rPr>
        <w:t xml:space="preserve">siječanj-rujan </w:t>
      </w:r>
      <w:r w:rsidRPr="004B2998">
        <w:rPr>
          <w:rFonts w:ascii="Tele-GroteskEEHal" w:hAnsi="Tele-GroteskEEHal" w:cs="Tahoma"/>
          <w:sz w:val="22"/>
          <w:szCs w:val="22"/>
          <w:lang w:val="hr-HR"/>
        </w:rPr>
        <w:t>2010.: 32 milijuna kuna), većim financijskim prihodima i manjim oporezivanjem u odnosu</w:t>
      </w:r>
      <w:r w:rsidRPr="00960D6B">
        <w:rPr>
          <w:rFonts w:ascii="Tele-GroteskEEHal" w:hAnsi="Tele-GroteskEEHal" w:cs="Tahoma"/>
          <w:sz w:val="22"/>
          <w:szCs w:val="22"/>
          <w:lang w:val="hr-HR"/>
        </w:rPr>
        <w:t xml:space="preserve"> na prošlu godinu.</w:t>
      </w:r>
    </w:p>
    <w:p w:rsidR="003E4626" w:rsidRDefault="003E4626" w:rsidP="0008412C">
      <w:pPr>
        <w:jc w:val="both"/>
        <w:outlineLvl w:val="0"/>
        <w:rPr>
          <w:rFonts w:ascii="Tele-GroteskEEHal" w:hAnsi="Tele-GroteskEEHal" w:cs="Arial"/>
          <w:bCs/>
          <w:sz w:val="22"/>
          <w:szCs w:val="22"/>
          <w:lang w:val="hr-HR"/>
        </w:rPr>
      </w:pPr>
    </w:p>
    <w:p w:rsidR="003E4626" w:rsidRPr="00960D6B" w:rsidRDefault="003E4626" w:rsidP="0008412C">
      <w:pPr>
        <w:jc w:val="both"/>
        <w:outlineLvl w:val="0"/>
        <w:rPr>
          <w:rFonts w:ascii="Tele-GroteskEEHal" w:hAnsi="Tele-GroteskEEHal" w:cs="Arial"/>
          <w:bCs/>
          <w:sz w:val="22"/>
          <w:szCs w:val="22"/>
          <w:lang w:val="hr-HR"/>
        </w:rPr>
      </w:pPr>
    </w:p>
    <w:p w:rsidR="003E4626" w:rsidRPr="00960D6B" w:rsidRDefault="003E4626" w:rsidP="003C5F28">
      <w:pPr>
        <w:jc w:val="both"/>
        <w:rPr>
          <w:rFonts w:ascii="Tele-GroteskEEHal" w:hAnsi="Tele-GroteskEEHal" w:cs="Tahoma"/>
          <w:b/>
          <w:sz w:val="22"/>
          <w:szCs w:val="22"/>
          <w:lang w:val="hr-HR"/>
        </w:rPr>
      </w:pPr>
      <w:r w:rsidRPr="00960D6B">
        <w:rPr>
          <w:rFonts w:ascii="Tele-GroteskEEHal" w:hAnsi="Tele-GroteskEEHal" w:cs="Tahoma"/>
          <w:b/>
          <w:sz w:val="22"/>
          <w:szCs w:val="22"/>
          <w:lang w:val="hr-HR"/>
        </w:rPr>
        <w:t>Bilanca</w:t>
      </w:r>
    </w:p>
    <w:p w:rsidR="003E4626" w:rsidRPr="00960D6B" w:rsidRDefault="003E4626" w:rsidP="003C5F28">
      <w:pPr>
        <w:jc w:val="both"/>
        <w:rPr>
          <w:rFonts w:ascii="Tele-GroteskEEHal" w:hAnsi="Tele-GroteskEEHal" w:cs="Tahoma"/>
          <w:b/>
          <w:sz w:val="22"/>
          <w:szCs w:val="22"/>
          <w:lang w:val="hr-HR"/>
        </w:rPr>
      </w:pPr>
    </w:p>
    <w:p w:rsidR="003E4626" w:rsidRPr="00960D6B" w:rsidRDefault="003E4626" w:rsidP="003C5F28">
      <w:pPr>
        <w:jc w:val="both"/>
        <w:rPr>
          <w:rFonts w:ascii="Tele-GroteskEEHal" w:hAnsi="Tele-GroteskEEHal" w:cs="Tahoma"/>
          <w:sz w:val="22"/>
          <w:szCs w:val="22"/>
          <w:lang w:val="hr-HR"/>
        </w:rPr>
      </w:pPr>
      <w:r w:rsidRPr="00960D6B">
        <w:rPr>
          <w:rFonts w:ascii="Tele-GroteskEEHal" w:hAnsi="Tele-GroteskEEHal" w:cs="Tahoma"/>
          <w:sz w:val="22"/>
          <w:szCs w:val="22"/>
          <w:lang w:val="hr-HR"/>
        </w:rPr>
        <w:t xml:space="preserve">Bilanca T-HT-a ostala je jaka s ukupnom imovinom u iznosu od 12.532 milijuna kuna. Na dan 30. rujna 2011. novac i novčani ekvivalenti iznosili su 2.478 milijuna kuna u usporedbi s 3.282 milijuna kuna na dan 31. prosinca. Dividenda u ukupnom iznosu od 1.863 milijuna kuna isplaćena je u svibnju 2011. </w:t>
      </w:r>
    </w:p>
    <w:p w:rsidR="003E4626" w:rsidRDefault="003E4626" w:rsidP="003C5F28">
      <w:pPr>
        <w:jc w:val="both"/>
        <w:rPr>
          <w:rFonts w:ascii="Tele-GroteskEEHal" w:hAnsi="Tele-GroteskEEHal" w:cs="Tahoma"/>
          <w:sz w:val="22"/>
          <w:szCs w:val="22"/>
          <w:lang w:val="hr-HR"/>
        </w:rPr>
      </w:pPr>
    </w:p>
    <w:p w:rsidR="003E4626" w:rsidRPr="00960D6B" w:rsidRDefault="003E4626" w:rsidP="003C5F28">
      <w:pPr>
        <w:jc w:val="both"/>
        <w:rPr>
          <w:rFonts w:ascii="Tele-GroteskEEHal" w:hAnsi="Tele-GroteskEEHal" w:cs="Tahoma"/>
          <w:sz w:val="22"/>
          <w:szCs w:val="22"/>
          <w:lang w:val="hr-HR"/>
        </w:rPr>
      </w:pPr>
    </w:p>
    <w:p w:rsidR="003E4626" w:rsidRPr="00960D6B" w:rsidRDefault="003E4626" w:rsidP="003C5F28">
      <w:pPr>
        <w:jc w:val="both"/>
        <w:rPr>
          <w:rFonts w:ascii="Tele-GroteskEEHal" w:hAnsi="Tele-GroteskEEHal" w:cs="Tahoma"/>
          <w:b/>
          <w:sz w:val="22"/>
          <w:szCs w:val="22"/>
          <w:lang w:val="hr-HR"/>
        </w:rPr>
      </w:pPr>
      <w:r w:rsidRPr="00960D6B">
        <w:rPr>
          <w:rFonts w:ascii="Tele-GroteskEEHal" w:hAnsi="Tele-GroteskEEHal" w:cs="Tahoma"/>
          <w:b/>
          <w:sz w:val="22"/>
          <w:szCs w:val="22"/>
          <w:lang w:val="hr-HR"/>
        </w:rPr>
        <w:t>Tijek novca</w:t>
      </w:r>
    </w:p>
    <w:p w:rsidR="003E4626" w:rsidRPr="00960D6B" w:rsidRDefault="003E4626" w:rsidP="003C5F28">
      <w:pPr>
        <w:jc w:val="both"/>
        <w:rPr>
          <w:rFonts w:ascii="Tele-GroteskEEHal" w:hAnsi="Tele-GroteskEEHal" w:cs="Tahoma"/>
          <w:sz w:val="22"/>
          <w:szCs w:val="22"/>
          <w:lang w:val="hr-HR"/>
        </w:rPr>
      </w:pPr>
    </w:p>
    <w:p w:rsidR="003E4626" w:rsidRPr="00960D6B" w:rsidRDefault="003E4626" w:rsidP="003C5F28">
      <w:pPr>
        <w:jc w:val="both"/>
        <w:rPr>
          <w:rFonts w:ascii="Tele-GroteskEEHal" w:hAnsi="Tele-GroteskEEHal" w:cs="Tahoma"/>
          <w:sz w:val="22"/>
          <w:szCs w:val="22"/>
          <w:lang w:val="hr-HR"/>
        </w:rPr>
      </w:pPr>
      <w:r w:rsidRPr="00960D6B">
        <w:rPr>
          <w:rFonts w:ascii="Tele-GroteskEEHal" w:hAnsi="Tele-GroteskEEHal" w:cs="Tahoma"/>
          <w:sz w:val="22"/>
          <w:szCs w:val="22"/>
          <w:lang w:val="hr-HR"/>
        </w:rPr>
        <w:t>Kao rezultat manje profitabilnosti i većih isplata otpremnina, neto tijek novca iz redovnog poslovanja smanjio se za 14,8% na 1.894 milijuna kuna u razdoblju od siječnja do rujna 2011. (siječanj-rujan 2010.: 2.223 milijuna kuna).</w:t>
      </w:r>
    </w:p>
    <w:p w:rsidR="003E4626" w:rsidRPr="00960D6B" w:rsidRDefault="003E4626" w:rsidP="003C5F28">
      <w:pPr>
        <w:jc w:val="both"/>
        <w:rPr>
          <w:rFonts w:ascii="Tele-GroteskEEHal" w:hAnsi="Tele-GroteskEEHal" w:cs="Tahoma"/>
          <w:sz w:val="22"/>
          <w:szCs w:val="22"/>
          <w:lang w:val="hr-HR"/>
        </w:rPr>
      </w:pPr>
    </w:p>
    <w:p w:rsidR="003E4626" w:rsidRPr="00960D6B" w:rsidRDefault="003E4626" w:rsidP="003C5F28">
      <w:pPr>
        <w:jc w:val="both"/>
        <w:rPr>
          <w:rFonts w:ascii="Tele-GroteskEEHal" w:hAnsi="Tele-GroteskEEHal" w:cs="Tahoma"/>
          <w:sz w:val="22"/>
          <w:szCs w:val="22"/>
          <w:lang w:val="hr-HR"/>
        </w:rPr>
      </w:pPr>
    </w:p>
    <w:p w:rsidR="003E4626" w:rsidRDefault="003E4626" w:rsidP="003C5F28">
      <w:pPr>
        <w:jc w:val="both"/>
        <w:rPr>
          <w:rFonts w:ascii="Tele-GroteskEEHal" w:hAnsi="Tele-GroteskEEHal" w:cs="Tahoma"/>
          <w:b/>
          <w:lang w:val="hr-HR"/>
        </w:rPr>
      </w:pPr>
      <w:r w:rsidRPr="00960D6B">
        <w:rPr>
          <w:rFonts w:ascii="Tele-GroteskEEHal" w:hAnsi="Tele-GroteskEEHal" w:cs="Tahoma"/>
          <w:b/>
          <w:lang w:val="hr-HR"/>
        </w:rPr>
        <w:t>Kapitalna ulaganja</w:t>
      </w:r>
    </w:p>
    <w:p w:rsidR="003E4626" w:rsidRDefault="003E4626" w:rsidP="003C5F28">
      <w:pPr>
        <w:jc w:val="both"/>
        <w:rPr>
          <w:rFonts w:ascii="Tele-GroteskEEHal" w:hAnsi="Tele-GroteskEEHal" w:cs="Tahoma"/>
          <w:b/>
          <w:lang w:val="hr-HR"/>
        </w:rPr>
      </w:pPr>
    </w:p>
    <w:tbl>
      <w:tblPr>
        <w:tblW w:w="8120" w:type="dxa"/>
        <w:tblInd w:w="108" w:type="dxa"/>
        <w:tblLook w:val="0000"/>
      </w:tblPr>
      <w:tblGrid>
        <w:gridCol w:w="3916"/>
        <w:gridCol w:w="1355"/>
        <w:gridCol w:w="1354"/>
        <w:gridCol w:w="1495"/>
      </w:tblGrid>
      <w:tr w:rsidR="003E4626" w:rsidRPr="003373BC" w:rsidTr="003373BC">
        <w:trPr>
          <w:trHeight w:val="300"/>
        </w:trPr>
        <w:tc>
          <w:tcPr>
            <w:tcW w:w="3916" w:type="dxa"/>
            <w:vMerge w:val="restart"/>
            <w:tcBorders>
              <w:top w:val="single" w:sz="4" w:space="0" w:color="auto"/>
              <w:left w:val="nil"/>
              <w:bottom w:val="single" w:sz="4" w:space="0" w:color="auto"/>
              <w:right w:val="nil"/>
            </w:tcBorders>
            <w:shd w:val="clear" w:color="auto" w:fill="E20074"/>
            <w:noWrap/>
            <w:vAlign w:val="center"/>
          </w:tcPr>
          <w:p w:rsidR="003E4626" w:rsidRPr="003373BC" w:rsidRDefault="003E4626" w:rsidP="003373BC">
            <w:pPr>
              <w:suppressAutoHyphens w:val="0"/>
              <w:rPr>
                <w:rFonts w:ascii="Tele-GroteskEEHal" w:hAnsi="Tele-GroteskEEHal"/>
                <w:b/>
                <w:bCs/>
                <w:color w:val="FFFFFF"/>
                <w:kern w:val="0"/>
                <w:lang w:val="hr-HR" w:eastAsia="hr-HR"/>
              </w:rPr>
            </w:pPr>
            <w:r w:rsidRPr="003373BC">
              <w:rPr>
                <w:rFonts w:ascii="Tele-GroteskEEHal" w:hAnsi="Tele-GroteskEEHal"/>
                <w:b/>
                <w:bCs/>
                <w:color w:val="FFFFFF"/>
                <w:kern w:val="0"/>
                <w:sz w:val="22"/>
                <w:szCs w:val="22"/>
                <w:lang w:val="hr-HR" w:eastAsia="hr-HR"/>
              </w:rPr>
              <w:t>u milijunima kuna</w:t>
            </w:r>
          </w:p>
        </w:tc>
        <w:tc>
          <w:tcPr>
            <w:tcW w:w="1355" w:type="dxa"/>
            <w:vMerge w:val="restart"/>
            <w:tcBorders>
              <w:top w:val="single" w:sz="4" w:space="0" w:color="auto"/>
              <w:left w:val="nil"/>
              <w:bottom w:val="single" w:sz="4" w:space="0" w:color="000000"/>
              <w:right w:val="nil"/>
            </w:tcBorders>
            <w:shd w:val="clear" w:color="auto" w:fill="E20074"/>
            <w:vAlign w:val="center"/>
          </w:tcPr>
          <w:p w:rsidR="003E4626" w:rsidRPr="003373BC" w:rsidRDefault="003E4626" w:rsidP="003373BC">
            <w:pPr>
              <w:suppressAutoHyphens w:val="0"/>
              <w:jc w:val="right"/>
              <w:rPr>
                <w:rFonts w:ascii="Tele-GroteskEEHal" w:hAnsi="Tele-GroteskEEHal"/>
                <w:b/>
                <w:bCs/>
                <w:color w:val="FFFFFF"/>
                <w:kern w:val="0"/>
                <w:lang w:val="hr-HR" w:eastAsia="hr-HR"/>
              </w:rPr>
            </w:pPr>
            <w:r w:rsidRPr="003373BC">
              <w:rPr>
                <w:rFonts w:ascii="Tele-GroteskEEHal" w:hAnsi="Tele-GroteskEEHal"/>
                <w:b/>
                <w:bCs/>
                <w:color w:val="FFFFFF"/>
                <w:kern w:val="0"/>
                <w:sz w:val="22"/>
                <w:szCs w:val="22"/>
                <w:lang w:val="hr-HR" w:eastAsia="hr-HR"/>
              </w:rPr>
              <w:t xml:space="preserve">Sij.-Ruj. </w:t>
            </w:r>
            <w:r w:rsidRPr="003373BC">
              <w:rPr>
                <w:rFonts w:ascii="Tele-GroteskEEHal" w:hAnsi="Tele-GroteskEEHal"/>
                <w:b/>
                <w:bCs/>
                <w:color w:val="FFFFFF"/>
                <w:kern w:val="0"/>
                <w:sz w:val="22"/>
                <w:szCs w:val="22"/>
                <w:lang w:val="hr-HR" w:eastAsia="hr-HR"/>
              </w:rPr>
              <w:br/>
              <w:t>2011.</w:t>
            </w:r>
          </w:p>
        </w:tc>
        <w:tc>
          <w:tcPr>
            <w:tcW w:w="1354" w:type="dxa"/>
            <w:vMerge w:val="restart"/>
            <w:tcBorders>
              <w:top w:val="single" w:sz="4" w:space="0" w:color="auto"/>
              <w:left w:val="nil"/>
              <w:bottom w:val="single" w:sz="4" w:space="0" w:color="000000"/>
              <w:right w:val="nil"/>
            </w:tcBorders>
            <w:shd w:val="clear" w:color="auto" w:fill="E20074"/>
            <w:vAlign w:val="center"/>
          </w:tcPr>
          <w:p w:rsidR="003E4626" w:rsidRPr="003373BC" w:rsidRDefault="003E4626" w:rsidP="003373BC">
            <w:pPr>
              <w:suppressAutoHyphens w:val="0"/>
              <w:jc w:val="right"/>
              <w:rPr>
                <w:rFonts w:ascii="Tele-GroteskEEHal" w:hAnsi="Tele-GroteskEEHal"/>
                <w:b/>
                <w:bCs/>
                <w:color w:val="FFFFFF"/>
                <w:kern w:val="0"/>
                <w:lang w:val="hr-HR" w:eastAsia="hr-HR"/>
              </w:rPr>
            </w:pPr>
            <w:r w:rsidRPr="003373BC">
              <w:rPr>
                <w:rFonts w:ascii="Tele-GroteskEEHal" w:hAnsi="Tele-GroteskEEHal"/>
                <w:b/>
                <w:bCs/>
                <w:color w:val="FFFFFF"/>
                <w:kern w:val="0"/>
                <w:sz w:val="22"/>
                <w:szCs w:val="22"/>
                <w:lang w:val="hr-HR" w:eastAsia="hr-HR"/>
              </w:rPr>
              <w:t xml:space="preserve">Sij.-Ruj. </w:t>
            </w:r>
            <w:r w:rsidRPr="003373BC">
              <w:rPr>
                <w:rFonts w:ascii="Tele-GroteskEEHal" w:hAnsi="Tele-GroteskEEHal"/>
                <w:b/>
                <w:bCs/>
                <w:color w:val="FFFFFF"/>
                <w:kern w:val="0"/>
                <w:sz w:val="22"/>
                <w:szCs w:val="22"/>
                <w:lang w:val="hr-HR" w:eastAsia="hr-HR"/>
              </w:rPr>
              <w:br/>
              <w:t>2010.</w:t>
            </w:r>
          </w:p>
        </w:tc>
        <w:tc>
          <w:tcPr>
            <w:tcW w:w="1495" w:type="dxa"/>
            <w:vMerge w:val="restart"/>
            <w:tcBorders>
              <w:top w:val="single" w:sz="4" w:space="0" w:color="auto"/>
              <w:left w:val="nil"/>
              <w:bottom w:val="single" w:sz="4" w:space="0" w:color="000000"/>
              <w:right w:val="nil"/>
            </w:tcBorders>
            <w:shd w:val="clear" w:color="auto" w:fill="E20074"/>
            <w:vAlign w:val="center"/>
          </w:tcPr>
          <w:p w:rsidR="003E4626" w:rsidRPr="003373BC" w:rsidRDefault="003E4626" w:rsidP="003373BC">
            <w:pPr>
              <w:suppressAutoHyphens w:val="0"/>
              <w:jc w:val="right"/>
              <w:rPr>
                <w:rFonts w:ascii="Tele-GroteskEEHal" w:hAnsi="Tele-GroteskEEHal"/>
                <w:b/>
                <w:bCs/>
                <w:i/>
                <w:iCs/>
                <w:color w:val="FFFFFF"/>
                <w:kern w:val="0"/>
                <w:lang w:val="hr-HR" w:eastAsia="hr-HR"/>
              </w:rPr>
            </w:pPr>
            <w:r w:rsidRPr="003373BC">
              <w:rPr>
                <w:rFonts w:ascii="Tele-GroteskEEHal" w:hAnsi="Tele-GroteskEEHal"/>
                <w:b/>
                <w:bCs/>
                <w:i/>
                <w:iCs/>
                <w:color w:val="FFFFFF"/>
                <w:kern w:val="0"/>
                <w:sz w:val="22"/>
                <w:szCs w:val="22"/>
                <w:lang w:val="hr-HR" w:eastAsia="hr-HR"/>
              </w:rPr>
              <w:t xml:space="preserve">% promjene </w:t>
            </w:r>
            <w:r w:rsidRPr="003373BC">
              <w:rPr>
                <w:rFonts w:ascii="Tele-GroteskEEHal" w:hAnsi="Tele-GroteskEEHal"/>
                <w:b/>
                <w:bCs/>
                <w:i/>
                <w:iCs/>
                <w:color w:val="FFFFFF"/>
                <w:kern w:val="0"/>
                <w:sz w:val="22"/>
                <w:szCs w:val="22"/>
                <w:lang w:val="hr-HR" w:eastAsia="hr-HR"/>
              </w:rPr>
              <w:br/>
              <w:t>11/10</w:t>
            </w:r>
          </w:p>
        </w:tc>
      </w:tr>
      <w:tr w:rsidR="003E4626" w:rsidRPr="003373BC" w:rsidTr="003373BC">
        <w:trPr>
          <w:trHeight w:val="499"/>
        </w:trPr>
        <w:tc>
          <w:tcPr>
            <w:tcW w:w="3916" w:type="dxa"/>
            <w:vMerge/>
            <w:tcBorders>
              <w:top w:val="single" w:sz="4" w:space="0" w:color="auto"/>
              <w:left w:val="nil"/>
              <w:bottom w:val="single" w:sz="4" w:space="0" w:color="auto"/>
              <w:right w:val="nil"/>
            </w:tcBorders>
            <w:vAlign w:val="center"/>
          </w:tcPr>
          <w:p w:rsidR="003E4626" w:rsidRPr="003373BC" w:rsidRDefault="003E4626" w:rsidP="003373BC">
            <w:pPr>
              <w:suppressAutoHyphens w:val="0"/>
              <w:rPr>
                <w:rFonts w:ascii="Tele-GroteskEEHal" w:hAnsi="Tele-GroteskEEHal"/>
                <w:b/>
                <w:bCs/>
                <w:color w:val="FFFFFF"/>
                <w:kern w:val="0"/>
                <w:lang w:val="hr-HR" w:eastAsia="hr-HR"/>
              </w:rPr>
            </w:pPr>
          </w:p>
        </w:tc>
        <w:tc>
          <w:tcPr>
            <w:tcW w:w="1355" w:type="dxa"/>
            <w:vMerge/>
            <w:tcBorders>
              <w:top w:val="single" w:sz="4" w:space="0" w:color="auto"/>
              <w:left w:val="nil"/>
              <w:bottom w:val="single" w:sz="4" w:space="0" w:color="000000"/>
              <w:right w:val="nil"/>
            </w:tcBorders>
            <w:vAlign w:val="center"/>
          </w:tcPr>
          <w:p w:rsidR="003E4626" w:rsidRPr="003373BC" w:rsidRDefault="003E4626" w:rsidP="003373BC">
            <w:pPr>
              <w:suppressAutoHyphens w:val="0"/>
              <w:rPr>
                <w:rFonts w:ascii="Tele-GroteskEEHal" w:hAnsi="Tele-GroteskEEHal"/>
                <w:b/>
                <w:bCs/>
                <w:color w:val="FFFFFF"/>
                <w:kern w:val="0"/>
                <w:lang w:val="hr-HR" w:eastAsia="hr-HR"/>
              </w:rPr>
            </w:pPr>
          </w:p>
        </w:tc>
        <w:tc>
          <w:tcPr>
            <w:tcW w:w="1354" w:type="dxa"/>
            <w:vMerge/>
            <w:tcBorders>
              <w:top w:val="single" w:sz="4" w:space="0" w:color="auto"/>
              <w:left w:val="nil"/>
              <w:bottom w:val="single" w:sz="4" w:space="0" w:color="000000"/>
              <w:right w:val="nil"/>
            </w:tcBorders>
            <w:vAlign w:val="center"/>
          </w:tcPr>
          <w:p w:rsidR="003E4626" w:rsidRPr="003373BC" w:rsidRDefault="003E4626" w:rsidP="003373BC">
            <w:pPr>
              <w:suppressAutoHyphens w:val="0"/>
              <w:rPr>
                <w:rFonts w:ascii="Tele-GroteskEEHal" w:hAnsi="Tele-GroteskEEHal"/>
                <w:b/>
                <w:bCs/>
                <w:color w:val="FFFFFF"/>
                <w:kern w:val="0"/>
                <w:lang w:val="hr-HR" w:eastAsia="hr-HR"/>
              </w:rPr>
            </w:pPr>
          </w:p>
        </w:tc>
        <w:tc>
          <w:tcPr>
            <w:tcW w:w="1495" w:type="dxa"/>
            <w:vMerge/>
            <w:tcBorders>
              <w:top w:val="single" w:sz="4" w:space="0" w:color="auto"/>
              <w:left w:val="nil"/>
              <w:bottom w:val="single" w:sz="4" w:space="0" w:color="000000"/>
              <w:right w:val="nil"/>
            </w:tcBorders>
            <w:vAlign w:val="center"/>
          </w:tcPr>
          <w:p w:rsidR="003E4626" w:rsidRPr="003373BC" w:rsidRDefault="003E4626" w:rsidP="003373BC">
            <w:pPr>
              <w:suppressAutoHyphens w:val="0"/>
              <w:rPr>
                <w:rFonts w:ascii="Tele-GroteskEEHal" w:hAnsi="Tele-GroteskEEHal"/>
                <w:b/>
                <w:bCs/>
                <w:i/>
                <w:iCs/>
                <w:color w:val="FFFFFF"/>
                <w:kern w:val="0"/>
                <w:lang w:val="hr-HR" w:eastAsia="hr-HR"/>
              </w:rPr>
            </w:pPr>
          </w:p>
        </w:tc>
      </w:tr>
      <w:tr w:rsidR="003E4626" w:rsidRPr="003373BC" w:rsidTr="003373BC">
        <w:trPr>
          <w:trHeight w:val="342"/>
        </w:trPr>
        <w:tc>
          <w:tcPr>
            <w:tcW w:w="3916" w:type="dxa"/>
            <w:tcBorders>
              <w:top w:val="nil"/>
              <w:left w:val="nil"/>
              <w:bottom w:val="nil"/>
              <w:right w:val="nil"/>
            </w:tcBorders>
            <w:noWrap/>
            <w:vAlign w:val="center"/>
          </w:tcPr>
          <w:p w:rsidR="003E4626" w:rsidRPr="003373BC" w:rsidRDefault="003E4626" w:rsidP="003373BC">
            <w:pPr>
              <w:suppressAutoHyphens w:val="0"/>
              <w:rPr>
                <w:rFonts w:ascii="Tele-GroteskEEHal" w:hAnsi="Tele-GroteskEEHal"/>
                <w:kern w:val="0"/>
                <w:lang w:val="hr-HR" w:eastAsia="hr-HR"/>
              </w:rPr>
            </w:pPr>
            <w:r w:rsidRPr="003373BC">
              <w:rPr>
                <w:rFonts w:ascii="Tele-GroteskEEHal" w:hAnsi="Tele-GroteskEEHal"/>
                <w:kern w:val="0"/>
                <w:sz w:val="22"/>
                <w:szCs w:val="22"/>
                <w:lang w:val="hr-HR" w:eastAsia="hr-HR"/>
              </w:rPr>
              <w:t>Poslovni</w:t>
            </w:r>
          </w:p>
        </w:tc>
        <w:tc>
          <w:tcPr>
            <w:tcW w:w="1355" w:type="dxa"/>
            <w:tcBorders>
              <w:top w:val="nil"/>
              <w:left w:val="nil"/>
              <w:bottom w:val="nil"/>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61</w:t>
            </w:r>
          </w:p>
        </w:tc>
        <w:tc>
          <w:tcPr>
            <w:tcW w:w="1354" w:type="dxa"/>
            <w:tcBorders>
              <w:top w:val="nil"/>
              <w:left w:val="nil"/>
              <w:bottom w:val="nil"/>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36</w:t>
            </w:r>
          </w:p>
        </w:tc>
        <w:tc>
          <w:tcPr>
            <w:tcW w:w="1495" w:type="dxa"/>
            <w:tcBorders>
              <w:top w:val="nil"/>
              <w:left w:val="nil"/>
              <w:bottom w:val="nil"/>
              <w:right w:val="nil"/>
            </w:tcBorders>
            <w:noWrap/>
            <w:vAlign w:val="center"/>
          </w:tcPr>
          <w:p w:rsidR="003E4626" w:rsidRPr="003373BC" w:rsidRDefault="003E4626" w:rsidP="003373BC">
            <w:pPr>
              <w:suppressAutoHyphens w:val="0"/>
              <w:jc w:val="right"/>
              <w:rPr>
                <w:rFonts w:ascii="Tele-GroteskEEHal" w:hAnsi="Tele-GroteskEEHal"/>
                <w:i/>
                <w:iCs/>
                <w:kern w:val="0"/>
                <w:lang w:val="hr-HR" w:eastAsia="hr-HR"/>
              </w:rPr>
            </w:pPr>
            <w:r w:rsidRPr="003373BC">
              <w:rPr>
                <w:rFonts w:ascii="Tele-GroteskEEHal" w:hAnsi="Tele-GroteskEEHal"/>
                <w:i/>
                <w:iCs/>
                <w:kern w:val="0"/>
                <w:sz w:val="22"/>
                <w:szCs w:val="22"/>
                <w:lang w:val="hr-HR" w:eastAsia="hr-HR"/>
              </w:rPr>
              <w:t>70,3%</w:t>
            </w:r>
          </w:p>
        </w:tc>
      </w:tr>
      <w:tr w:rsidR="003E4626" w:rsidRPr="003373BC" w:rsidTr="003373BC">
        <w:trPr>
          <w:trHeight w:val="342"/>
        </w:trPr>
        <w:tc>
          <w:tcPr>
            <w:tcW w:w="3916" w:type="dxa"/>
            <w:tcBorders>
              <w:top w:val="nil"/>
              <w:left w:val="nil"/>
              <w:bottom w:val="nil"/>
              <w:right w:val="nil"/>
            </w:tcBorders>
            <w:noWrap/>
            <w:vAlign w:val="center"/>
          </w:tcPr>
          <w:p w:rsidR="003E4626" w:rsidRPr="003373BC" w:rsidRDefault="003E4626" w:rsidP="003373BC">
            <w:pPr>
              <w:suppressAutoHyphens w:val="0"/>
              <w:rPr>
                <w:rFonts w:ascii="Tele-GroteskEEHal" w:hAnsi="Tele-GroteskEEHal"/>
                <w:kern w:val="0"/>
                <w:lang w:val="hr-HR" w:eastAsia="hr-HR"/>
              </w:rPr>
            </w:pPr>
            <w:r w:rsidRPr="003373BC">
              <w:rPr>
                <w:rFonts w:ascii="Tele-GroteskEEHal" w:hAnsi="Tele-GroteskEEHal"/>
                <w:kern w:val="0"/>
                <w:sz w:val="22"/>
                <w:szCs w:val="22"/>
                <w:lang w:val="hr-HR" w:eastAsia="hr-HR"/>
              </w:rPr>
              <w:t>Privatni</w:t>
            </w:r>
          </w:p>
        </w:tc>
        <w:tc>
          <w:tcPr>
            <w:tcW w:w="1355" w:type="dxa"/>
            <w:tcBorders>
              <w:top w:val="nil"/>
              <w:left w:val="nil"/>
              <w:bottom w:val="nil"/>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252</w:t>
            </w:r>
          </w:p>
        </w:tc>
        <w:tc>
          <w:tcPr>
            <w:tcW w:w="1354" w:type="dxa"/>
            <w:tcBorders>
              <w:top w:val="nil"/>
              <w:left w:val="nil"/>
              <w:bottom w:val="nil"/>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115</w:t>
            </w:r>
          </w:p>
        </w:tc>
        <w:tc>
          <w:tcPr>
            <w:tcW w:w="1495" w:type="dxa"/>
            <w:tcBorders>
              <w:top w:val="nil"/>
              <w:left w:val="nil"/>
              <w:bottom w:val="nil"/>
              <w:right w:val="nil"/>
            </w:tcBorders>
            <w:noWrap/>
            <w:vAlign w:val="center"/>
          </w:tcPr>
          <w:p w:rsidR="003E4626" w:rsidRPr="003373BC" w:rsidRDefault="003E4626" w:rsidP="003373BC">
            <w:pPr>
              <w:suppressAutoHyphens w:val="0"/>
              <w:jc w:val="right"/>
              <w:rPr>
                <w:rFonts w:ascii="Tele-GroteskEEHal" w:hAnsi="Tele-GroteskEEHal"/>
                <w:i/>
                <w:iCs/>
                <w:kern w:val="0"/>
                <w:lang w:val="hr-HR" w:eastAsia="hr-HR"/>
              </w:rPr>
            </w:pPr>
            <w:r w:rsidRPr="003373BC">
              <w:rPr>
                <w:rFonts w:ascii="Tele-GroteskEEHal" w:hAnsi="Tele-GroteskEEHal"/>
                <w:i/>
                <w:iCs/>
                <w:kern w:val="0"/>
                <w:sz w:val="22"/>
                <w:szCs w:val="22"/>
                <w:lang w:val="hr-HR" w:eastAsia="hr-HR"/>
              </w:rPr>
              <w:t>119,9%</w:t>
            </w:r>
          </w:p>
        </w:tc>
      </w:tr>
      <w:tr w:rsidR="003E4626" w:rsidRPr="003373BC" w:rsidTr="003373BC">
        <w:trPr>
          <w:trHeight w:val="342"/>
        </w:trPr>
        <w:tc>
          <w:tcPr>
            <w:tcW w:w="3916" w:type="dxa"/>
            <w:tcBorders>
              <w:top w:val="nil"/>
              <w:left w:val="nil"/>
              <w:bottom w:val="single" w:sz="4" w:space="0" w:color="auto"/>
              <w:right w:val="nil"/>
            </w:tcBorders>
            <w:noWrap/>
            <w:vAlign w:val="center"/>
          </w:tcPr>
          <w:p w:rsidR="003E4626" w:rsidRPr="003373BC" w:rsidRDefault="003E4626" w:rsidP="003373BC">
            <w:pPr>
              <w:suppressAutoHyphens w:val="0"/>
              <w:rPr>
                <w:rFonts w:ascii="Tele-GroteskEEHal" w:hAnsi="Tele-GroteskEEHal"/>
                <w:kern w:val="0"/>
                <w:lang w:val="hr-HR" w:eastAsia="hr-HR"/>
              </w:rPr>
            </w:pPr>
            <w:r w:rsidRPr="003373BC">
              <w:rPr>
                <w:rFonts w:ascii="Tele-GroteskEEHal" w:hAnsi="Tele-GroteskEEHal"/>
                <w:kern w:val="0"/>
                <w:sz w:val="22"/>
                <w:szCs w:val="22"/>
                <w:lang w:val="hr-HR" w:eastAsia="hr-HR"/>
              </w:rPr>
              <w:t>Mreža i funkcije podrške</w:t>
            </w:r>
          </w:p>
        </w:tc>
        <w:tc>
          <w:tcPr>
            <w:tcW w:w="1355" w:type="dxa"/>
            <w:tcBorders>
              <w:top w:val="nil"/>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320</w:t>
            </w:r>
          </w:p>
        </w:tc>
        <w:tc>
          <w:tcPr>
            <w:tcW w:w="1354" w:type="dxa"/>
            <w:tcBorders>
              <w:top w:val="nil"/>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467</w:t>
            </w:r>
          </w:p>
        </w:tc>
        <w:tc>
          <w:tcPr>
            <w:tcW w:w="1495" w:type="dxa"/>
            <w:tcBorders>
              <w:top w:val="nil"/>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i/>
                <w:iCs/>
                <w:kern w:val="0"/>
                <w:lang w:val="hr-HR" w:eastAsia="hr-HR"/>
              </w:rPr>
            </w:pPr>
            <w:r w:rsidRPr="003373BC">
              <w:rPr>
                <w:rFonts w:ascii="Tele-GroteskEEHal" w:hAnsi="Tele-GroteskEEHal"/>
                <w:i/>
                <w:iCs/>
                <w:kern w:val="0"/>
                <w:sz w:val="22"/>
                <w:szCs w:val="22"/>
                <w:lang w:val="hr-HR" w:eastAsia="hr-HR"/>
              </w:rPr>
              <w:t>-31,4%</w:t>
            </w:r>
          </w:p>
        </w:tc>
      </w:tr>
      <w:tr w:rsidR="003E4626" w:rsidRPr="003373BC" w:rsidTr="003373BC">
        <w:trPr>
          <w:trHeight w:val="342"/>
        </w:trPr>
        <w:tc>
          <w:tcPr>
            <w:tcW w:w="3916" w:type="dxa"/>
            <w:tcBorders>
              <w:top w:val="nil"/>
              <w:left w:val="nil"/>
              <w:bottom w:val="single" w:sz="4" w:space="0" w:color="auto"/>
              <w:right w:val="nil"/>
            </w:tcBorders>
            <w:noWrap/>
            <w:vAlign w:val="center"/>
          </w:tcPr>
          <w:p w:rsidR="003E4626" w:rsidRPr="003373BC" w:rsidRDefault="003E4626" w:rsidP="003373BC">
            <w:pPr>
              <w:suppressAutoHyphens w:val="0"/>
              <w:rPr>
                <w:rFonts w:ascii="Tele-GroteskEEHal" w:hAnsi="Tele-GroteskEEHal"/>
                <w:b/>
                <w:bCs/>
                <w:kern w:val="0"/>
                <w:lang w:val="hr-HR" w:eastAsia="hr-HR"/>
              </w:rPr>
            </w:pPr>
            <w:r w:rsidRPr="003373BC">
              <w:rPr>
                <w:rFonts w:ascii="Tele-GroteskEEHal" w:hAnsi="Tele-GroteskEEHal"/>
                <w:b/>
                <w:bCs/>
                <w:kern w:val="0"/>
                <w:sz w:val="22"/>
                <w:szCs w:val="22"/>
                <w:lang w:val="hr-HR" w:eastAsia="hr-HR"/>
              </w:rPr>
              <w:t>T-HT Grupa</w:t>
            </w:r>
          </w:p>
        </w:tc>
        <w:tc>
          <w:tcPr>
            <w:tcW w:w="1355" w:type="dxa"/>
            <w:tcBorders>
              <w:top w:val="nil"/>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b/>
                <w:bCs/>
                <w:kern w:val="0"/>
                <w:lang w:val="hr-HR" w:eastAsia="hr-HR"/>
              </w:rPr>
            </w:pPr>
            <w:r w:rsidRPr="003373BC">
              <w:rPr>
                <w:rFonts w:ascii="Tele-GroteskEEHal" w:hAnsi="Tele-GroteskEEHal"/>
                <w:b/>
                <w:bCs/>
                <w:kern w:val="0"/>
                <w:sz w:val="22"/>
                <w:szCs w:val="22"/>
                <w:lang w:val="hr-HR" w:eastAsia="hr-HR"/>
              </w:rPr>
              <w:t>633</w:t>
            </w:r>
          </w:p>
        </w:tc>
        <w:tc>
          <w:tcPr>
            <w:tcW w:w="1354" w:type="dxa"/>
            <w:tcBorders>
              <w:top w:val="nil"/>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b/>
                <w:bCs/>
                <w:kern w:val="0"/>
                <w:lang w:val="hr-HR" w:eastAsia="hr-HR"/>
              </w:rPr>
            </w:pPr>
            <w:r w:rsidRPr="003373BC">
              <w:rPr>
                <w:rFonts w:ascii="Tele-GroteskEEHal" w:hAnsi="Tele-GroteskEEHal"/>
                <w:b/>
                <w:bCs/>
                <w:kern w:val="0"/>
                <w:sz w:val="22"/>
                <w:szCs w:val="22"/>
                <w:lang w:val="hr-HR" w:eastAsia="hr-HR"/>
              </w:rPr>
              <w:t>617</w:t>
            </w:r>
          </w:p>
        </w:tc>
        <w:tc>
          <w:tcPr>
            <w:tcW w:w="1495" w:type="dxa"/>
            <w:tcBorders>
              <w:top w:val="nil"/>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b/>
                <w:bCs/>
                <w:i/>
                <w:iCs/>
                <w:kern w:val="0"/>
                <w:lang w:val="hr-HR" w:eastAsia="hr-HR"/>
              </w:rPr>
            </w:pPr>
            <w:r w:rsidRPr="003373BC">
              <w:rPr>
                <w:rFonts w:ascii="Tele-GroteskEEHal" w:hAnsi="Tele-GroteskEEHal"/>
                <w:b/>
                <w:bCs/>
                <w:i/>
                <w:iCs/>
                <w:kern w:val="0"/>
                <w:sz w:val="22"/>
                <w:szCs w:val="22"/>
                <w:lang w:val="hr-HR" w:eastAsia="hr-HR"/>
              </w:rPr>
              <w:t>2,6%</w:t>
            </w:r>
          </w:p>
        </w:tc>
      </w:tr>
      <w:tr w:rsidR="003E4626" w:rsidRPr="003373BC" w:rsidTr="003373BC">
        <w:trPr>
          <w:trHeight w:val="300"/>
        </w:trPr>
        <w:tc>
          <w:tcPr>
            <w:tcW w:w="3916" w:type="dxa"/>
            <w:tcBorders>
              <w:top w:val="nil"/>
              <w:left w:val="nil"/>
              <w:bottom w:val="nil"/>
              <w:right w:val="nil"/>
            </w:tcBorders>
            <w:noWrap/>
            <w:vAlign w:val="center"/>
          </w:tcPr>
          <w:p w:rsidR="003E4626" w:rsidRPr="003373BC" w:rsidRDefault="003E4626" w:rsidP="003373BC">
            <w:pPr>
              <w:suppressAutoHyphens w:val="0"/>
              <w:rPr>
                <w:rFonts w:ascii="Tele-GroteskEEHal" w:hAnsi="Tele-GroteskEEHal"/>
                <w:color w:val="000000"/>
                <w:kern w:val="0"/>
                <w:lang w:val="hr-HR" w:eastAsia="hr-HR"/>
              </w:rPr>
            </w:pPr>
          </w:p>
        </w:tc>
        <w:tc>
          <w:tcPr>
            <w:tcW w:w="1355" w:type="dxa"/>
            <w:tcBorders>
              <w:top w:val="nil"/>
              <w:left w:val="nil"/>
              <w:bottom w:val="nil"/>
              <w:right w:val="nil"/>
            </w:tcBorders>
            <w:noWrap/>
            <w:vAlign w:val="center"/>
          </w:tcPr>
          <w:p w:rsidR="003E4626" w:rsidRPr="003373BC" w:rsidRDefault="003E4626" w:rsidP="003373BC">
            <w:pPr>
              <w:suppressAutoHyphens w:val="0"/>
              <w:rPr>
                <w:rFonts w:ascii="Tele-GroteskEEHal" w:hAnsi="Tele-GroteskEEHal"/>
                <w:color w:val="000000"/>
                <w:kern w:val="0"/>
                <w:lang w:val="hr-HR" w:eastAsia="hr-HR"/>
              </w:rPr>
            </w:pPr>
          </w:p>
        </w:tc>
        <w:tc>
          <w:tcPr>
            <w:tcW w:w="1354" w:type="dxa"/>
            <w:tcBorders>
              <w:top w:val="nil"/>
              <w:left w:val="nil"/>
              <w:bottom w:val="nil"/>
              <w:right w:val="nil"/>
            </w:tcBorders>
            <w:noWrap/>
            <w:vAlign w:val="center"/>
          </w:tcPr>
          <w:p w:rsidR="003E4626" w:rsidRPr="003373BC" w:rsidRDefault="003E4626" w:rsidP="003373BC">
            <w:pPr>
              <w:suppressAutoHyphens w:val="0"/>
              <w:rPr>
                <w:rFonts w:ascii="Tele-GroteskEEHal" w:hAnsi="Tele-GroteskEEHal"/>
                <w:color w:val="000000"/>
                <w:kern w:val="0"/>
                <w:lang w:val="hr-HR" w:eastAsia="hr-HR"/>
              </w:rPr>
            </w:pPr>
          </w:p>
        </w:tc>
        <w:tc>
          <w:tcPr>
            <w:tcW w:w="1495" w:type="dxa"/>
            <w:tcBorders>
              <w:top w:val="nil"/>
              <w:left w:val="nil"/>
              <w:bottom w:val="nil"/>
              <w:right w:val="nil"/>
            </w:tcBorders>
            <w:noWrap/>
            <w:vAlign w:val="center"/>
          </w:tcPr>
          <w:p w:rsidR="003E4626" w:rsidRPr="003373BC" w:rsidRDefault="003E4626" w:rsidP="003373BC">
            <w:pPr>
              <w:suppressAutoHyphens w:val="0"/>
              <w:rPr>
                <w:rFonts w:ascii="Tele-GroteskEEHal" w:hAnsi="Tele-GroteskEEHal"/>
                <w:color w:val="000000"/>
                <w:kern w:val="0"/>
                <w:lang w:val="hr-HR" w:eastAsia="hr-HR"/>
              </w:rPr>
            </w:pPr>
          </w:p>
        </w:tc>
      </w:tr>
      <w:tr w:rsidR="003E4626" w:rsidRPr="003373BC" w:rsidTr="003373BC">
        <w:trPr>
          <w:trHeight w:val="342"/>
        </w:trPr>
        <w:tc>
          <w:tcPr>
            <w:tcW w:w="3916" w:type="dxa"/>
            <w:tcBorders>
              <w:top w:val="single" w:sz="4" w:space="0" w:color="auto"/>
              <w:left w:val="nil"/>
              <w:bottom w:val="single" w:sz="4" w:space="0" w:color="auto"/>
              <w:right w:val="nil"/>
            </w:tcBorders>
            <w:noWrap/>
            <w:vAlign w:val="center"/>
          </w:tcPr>
          <w:p w:rsidR="003E4626" w:rsidRPr="003373BC" w:rsidRDefault="003E4626" w:rsidP="003373BC">
            <w:pPr>
              <w:suppressAutoHyphens w:val="0"/>
              <w:rPr>
                <w:rFonts w:ascii="Tele-GroteskEEHal" w:hAnsi="Tele-GroteskEEHal"/>
                <w:kern w:val="0"/>
                <w:lang w:val="hr-HR" w:eastAsia="hr-HR"/>
              </w:rPr>
            </w:pPr>
            <w:r w:rsidRPr="003373BC">
              <w:rPr>
                <w:rFonts w:ascii="Tele-GroteskEEHal" w:hAnsi="Tele-GroteskEEHal"/>
                <w:kern w:val="0"/>
                <w:sz w:val="22"/>
                <w:szCs w:val="22"/>
                <w:lang w:val="hr-HR" w:eastAsia="hr-HR"/>
              </w:rPr>
              <w:t>Omjer ulaganja u dugotr. imovinu / prihodi</w:t>
            </w:r>
          </w:p>
        </w:tc>
        <w:tc>
          <w:tcPr>
            <w:tcW w:w="1355" w:type="dxa"/>
            <w:tcBorders>
              <w:top w:val="single" w:sz="4" w:space="0" w:color="auto"/>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10,4%</w:t>
            </w:r>
          </w:p>
        </w:tc>
        <w:tc>
          <w:tcPr>
            <w:tcW w:w="1354" w:type="dxa"/>
            <w:tcBorders>
              <w:top w:val="single" w:sz="4" w:space="0" w:color="auto"/>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kern w:val="0"/>
                <w:lang w:val="hr-HR" w:eastAsia="hr-HR"/>
              </w:rPr>
            </w:pPr>
            <w:r w:rsidRPr="003373BC">
              <w:rPr>
                <w:rFonts w:ascii="Tele-GroteskEEHal" w:hAnsi="Tele-GroteskEEHal"/>
                <w:kern w:val="0"/>
                <w:sz w:val="22"/>
                <w:szCs w:val="22"/>
                <w:lang w:val="hr-HR" w:eastAsia="hr-HR"/>
              </w:rPr>
              <w:t>9,8%</w:t>
            </w:r>
          </w:p>
        </w:tc>
        <w:tc>
          <w:tcPr>
            <w:tcW w:w="1495" w:type="dxa"/>
            <w:tcBorders>
              <w:top w:val="single" w:sz="4" w:space="0" w:color="auto"/>
              <w:left w:val="nil"/>
              <w:bottom w:val="single" w:sz="4" w:space="0" w:color="auto"/>
              <w:right w:val="nil"/>
            </w:tcBorders>
            <w:noWrap/>
            <w:vAlign w:val="center"/>
          </w:tcPr>
          <w:p w:rsidR="003E4626" w:rsidRPr="003373BC" w:rsidRDefault="003E4626" w:rsidP="003373BC">
            <w:pPr>
              <w:suppressAutoHyphens w:val="0"/>
              <w:jc w:val="right"/>
              <w:rPr>
                <w:rFonts w:ascii="Tele-GroteskEEHal" w:hAnsi="Tele-GroteskEEHal"/>
                <w:i/>
                <w:iCs/>
                <w:kern w:val="0"/>
                <w:lang w:val="hr-HR" w:eastAsia="hr-HR"/>
              </w:rPr>
            </w:pPr>
            <w:r w:rsidRPr="003373BC">
              <w:rPr>
                <w:rFonts w:ascii="Tele-GroteskEEHal" w:hAnsi="Tele-GroteskEEHal"/>
                <w:i/>
                <w:iCs/>
                <w:kern w:val="0"/>
                <w:sz w:val="22"/>
                <w:szCs w:val="22"/>
                <w:lang w:val="hr-HR" w:eastAsia="hr-HR"/>
              </w:rPr>
              <w:t>0,6 p.p.</w:t>
            </w:r>
          </w:p>
        </w:tc>
      </w:tr>
    </w:tbl>
    <w:p w:rsidR="003E4626" w:rsidRPr="00960D6B" w:rsidRDefault="003E4626" w:rsidP="003C5F28">
      <w:pPr>
        <w:jc w:val="both"/>
        <w:rPr>
          <w:rFonts w:ascii="Tele-GroteskEEHal" w:hAnsi="Tele-GroteskEEHal" w:cs="Tahoma"/>
          <w:b/>
          <w:lang w:val="hr-HR"/>
        </w:rPr>
      </w:pPr>
    </w:p>
    <w:p w:rsidR="003E4626" w:rsidRPr="004B2998" w:rsidRDefault="003E4626" w:rsidP="00CE1E6B">
      <w:pPr>
        <w:jc w:val="both"/>
        <w:rPr>
          <w:rFonts w:ascii="Tele-GroteskHal" w:hAnsi="Tele-GroteskHal" w:cs="Arial"/>
          <w:sz w:val="22"/>
          <w:szCs w:val="22"/>
          <w:lang w:val="hr-HR"/>
        </w:rPr>
      </w:pPr>
      <w:r w:rsidRPr="00960D6B">
        <w:rPr>
          <w:rFonts w:ascii="Tele-GroteskHal" w:hAnsi="Tele-GroteskHal" w:cs="Arial"/>
          <w:sz w:val="22"/>
          <w:szCs w:val="22"/>
          <w:lang w:val="hr-HR"/>
        </w:rPr>
        <w:t xml:space="preserve">Kapitalna su ulaganja bila veća za 2,6% u odnosu na prvih devet mjeseci 2010. Zbog spajanja T-HT-a i T-Mobilea Hrvatska te zahvaljujući nastojanjima da se maksimalno iskoristi unutarnji sinergijski potencijal između područja poslovanja nepokretnih i pokretnih komunikacija, promijenjen je vremenski raspored nekoliko glavnih projekata ili su odgođeni u 2010. Promjena tretmana korisničke opreme </w:t>
      </w:r>
      <w:r w:rsidRPr="004B2998">
        <w:rPr>
          <w:rFonts w:ascii="Tele-GroteskHal" w:hAnsi="Tele-GroteskHal" w:cs="Arial"/>
          <w:sz w:val="22"/>
          <w:szCs w:val="22"/>
          <w:lang w:val="hr-HR"/>
        </w:rPr>
        <w:t>(CPE) iz OPEX-a u CAPEX od 1. rujna 2010. također je rezultirala povećanjem od 112 milijuna kuna (siječanj-rujan 2010.: 14 milijuna kuna).</w:t>
      </w:r>
    </w:p>
    <w:p w:rsidR="003E4626" w:rsidRPr="004B2998" w:rsidRDefault="003E4626" w:rsidP="00CE1E6B">
      <w:pPr>
        <w:jc w:val="both"/>
        <w:rPr>
          <w:rFonts w:ascii="Tele-GroteskHal" w:hAnsi="Tele-GroteskHal" w:cs="Arial"/>
          <w:sz w:val="22"/>
          <w:szCs w:val="22"/>
          <w:lang w:val="hr-HR"/>
        </w:rPr>
      </w:pPr>
    </w:p>
    <w:p w:rsidR="003E4626" w:rsidRPr="004B2998" w:rsidRDefault="003E4626" w:rsidP="00CE1E6B">
      <w:pPr>
        <w:jc w:val="both"/>
        <w:rPr>
          <w:rFonts w:ascii="Tele-GroteskHal" w:hAnsi="Tele-GroteskHal" w:cs="Arial"/>
          <w:sz w:val="22"/>
          <w:szCs w:val="22"/>
          <w:lang w:val="hr-HR"/>
        </w:rPr>
      </w:pPr>
      <w:r w:rsidRPr="004B2998">
        <w:rPr>
          <w:rFonts w:ascii="Tele-GroteskHal" w:hAnsi="Tele-GroteskHal" w:cs="Arial"/>
          <w:sz w:val="22"/>
          <w:szCs w:val="22"/>
          <w:lang w:val="hr-HR"/>
        </w:rPr>
        <w:t>U Segmentu privatnih korisnika ostvarena su bitno veća kapitalna ulaganja, uglavnom kao rezultat promjene poslovnog modela/računovodstvenog tretmana mrežnog CPE-a i povećanja kapitalnih ulaganja vezanih uz IT.</w:t>
      </w:r>
    </w:p>
    <w:p w:rsidR="003E4626" w:rsidRPr="004B2998" w:rsidRDefault="003E4626" w:rsidP="00CE1E6B">
      <w:pPr>
        <w:jc w:val="both"/>
        <w:rPr>
          <w:rFonts w:ascii="Tele-GroteskHal" w:hAnsi="Tele-GroteskHal" w:cs="Arial"/>
          <w:sz w:val="22"/>
          <w:szCs w:val="22"/>
          <w:lang w:val="hr-HR"/>
        </w:rPr>
      </w:pPr>
    </w:p>
    <w:p w:rsidR="003E4626" w:rsidRPr="004B2998" w:rsidRDefault="003E4626" w:rsidP="00CE1E6B">
      <w:pPr>
        <w:jc w:val="both"/>
        <w:rPr>
          <w:rFonts w:ascii="Tele-GroteskHal" w:hAnsi="Tele-GroteskHal" w:cs="Arial"/>
          <w:sz w:val="22"/>
          <w:szCs w:val="22"/>
          <w:lang w:val="hr-HR"/>
        </w:rPr>
      </w:pPr>
      <w:r w:rsidRPr="004B2998">
        <w:rPr>
          <w:rFonts w:ascii="Tele-GroteskHal" w:hAnsi="Tele-GroteskHal" w:cs="Arial"/>
          <w:sz w:val="22"/>
          <w:szCs w:val="22"/>
          <w:lang w:val="hr-HR"/>
        </w:rPr>
        <w:t>U Segmentu poslovnih korisnika kapitalna ulaganja bila su za 70,3% veća, uglavnom zbog većih ulaganja u IT rješenja vezana uz poslovanje, promjene poslovnog modela/računovodstvenog tretmana CPE-a i većeg CAPEX-a u Combisu i Iskonu.</w:t>
      </w:r>
    </w:p>
    <w:p w:rsidR="003E4626" w:rsidRPr="004B2998" w:rsidRDefault="003E4626" w:rsidP="00CE1E6B">
      <w:pPr>
        <w:jc w:val="both"/>
        <w:rPr>
          <w:rFonts w:ascii="Tele-GroteskEEHal" w:hAnsi="Tele-GroteskEEHal" w:cs="Arial"/>
          <w:sz w:val="22"/>
          <w:szCs w:val="22"/>
          <w:lang w:val="hr-HR"/>
        </w:rPr>
      </w:pPr>
    </w:p>
    <w:p w:rsidR="003E4626" w:rsidRPr="00960D6B" w:rsidRDefault="003E4626" w:rsidP="00CE1E6B">
      <w:pPr>
        <w:jc w:val="both"/>
        <w:rPr>
          <w:rFonts w:ascii="Tele-GroteskEEHal" w:hAnsi="Tele-GroteskEEHal" w:cs="Arial"/>
          <w:sz w:val="22"/>
          <w:szCs w:val="22"/>
          <w:lang w:val="hr-HR"/>
        </w:rPr>
      </w:pPr>
      <w:r w:rsidRPr="004B2998">
        <w:rPr>
          <w:rFonts w:ascii="Tele-GroteskEEHal" w:hAnsi="Tele-GroteskEEHal" w:cs="Arial"/>
          <w:sz w:val="22"/>
          <w:szCs w:val="22"/>
          <w:lang w:val="hr-HR"/>
        </w:rPr>
        <w:t>Dok se ne razjasni pitanje optičkog pristupa, Grupa nastavlja s modernizacijom postojeće nepokretne</w:t>
      </w:r>
      <w:r w:rsidRPr="00960D6B">
        <w:rPr>
          <w:rFonts w:ascii="Tele-GroteskEEHal" w:hAnsi="Tele-GroteskEEHal" w:cs="Arial"/>
          <w:sz w:val="22"/>
          <w:szCs w:val="22"/>
          <w:lang w:val="hr-HR"/>
        </w:rPr>
        <w:t xml:space="preserve"> jezgrene i agregacijske mreže, dok u pokretnoj mreži nastavlja s ulaganjima u transformaciju radijske pristupne i jezgrene mreže kako bi unaprijedila širokopojasni pristup u pokretnoj mreži.</w:t>
      </w:r>
    </w:p>
    <w:p w:rsidR="003E4626" w:rsidRPr="00960D6B" w:rsidRDefault="003E4626" w:rsidP="00935E99">
      <w:pPr>
        <w:jc w:val="both"/>
        <w:rPr>
          <w:rFonts w:ascii="Tele-GroteskHal" w:hAnsi="Tele-GroteskHal" w:cs="Arial"/>
          <w:b/>
          <w:sz w:val="28"/>
          <w:szCs w:val="28"/>
          <w:lang w:val="hr-HR"/>
        </w:rPr>
      </w:pPr>
      <w:r w:rsidRPr="00960D6B">
        <w:rPr>
          <w:rFonts w:ascii="Tele-GroteskHal" w:hAnsi="Tele-GroteskHal" w:cs="Arial"/>
          <w:b/>
          <w:sz w:val="28"/>
          <w:szCs w:val="28"/>
          <w:lang w:val="hr-HR"/>
        </w:rPr>
        <w:t>Analiza rezultata po segmentima</w:t>
      </w:r>
    </w:p>
    <w:p w:rsidR="003E4626" w:rsidRPr="00960D6B" w:rsidRDefault="003E4626" w:rsidP="0008412C">
      <w:pPr>
        <w:jc w:val="both"/>
        <w:rPr>
          <w:rFonts w:ascii="Tele-GroteskEEHal" w:hAnsi="Tele-GroteskEEHal" w:cs="Tahoma"/>
          <w:b/>
          <w:sz w:val="22"/>
          <w:szCs w:val="22"/>
          <w:lang w:val="hr-HR"/>
        </w:rPr>
      </w:pPr>
    </w:p>
    <w:p w:rsidR="003E4626" w:rsidRPr="00960D6B" w:rsidRDefault="003E4626" w:rsidP="002A0F72">
      <w:pPr>
        <w:jc w:val="both"/>
        <w:rPr>
          <w:rFonts w:ascii="Tele-GroteskEEHal" w:hAnsi="Tele-GroteskEEHal" w:cs="Tahoma"/>
          <w:b/>
          <w:sz w:val="22"/>
          <w:szCs w:val="22"/>
          <w:lang w:val="hr-HR"/>
        </w:rPr>
      </w:pPr>
      <w:r w:rsidRPr="00960D6B">
        <w:rPr>
          <w:rFonts w:ascii="Tele-GroteskEEHal" w:hAnsi="Tele-GroteskEEHal" w:cs="Tahoma"/>
          <w:b/>
          <w:sz w:val="22"/>
          <w:szCs w:val="22"/>
          <w:lang w:val="hr-HR"/>
        </w:rPr>
        <w:t xml:space="preserve">Glavna obilježja poslovanja Segmenta privatnih korisnika </w:t>
      </w:r>
    </w:p>
    <w:p w:rsidR="003E4626" w:rsidRPr="00960D6B" w:rsidRDefault="003E4626" w:rsidP="009C68E3">
      <w:pPr>
        <w:jc w:val="both"/>
        <w:rPr>
          <w:rFonts w:ascii="Tele-GroteskEEHal" w:hAnsi="Tele-GroteskEEHal" w:cs="Tahoma"/>
          <w:b/>
          <w:sz w:val="22"/>
          <w:szCs w:val="22"/>
          <w:lang w:val="hr-HR"/>
        </w:rPr>
      </w:pPr>
    </w:p>
    <w:p w:rsidR="003E4626" w:rsidRPr="00960D6B" w:rsidRDefault="003E4626" w:rsidP="00205FEA">
      <w:pPr>
        <w:numPr>
          <w:ilvl w:val="0"/>
          <w:numId w:val="23"/>
        </w:numPr>
        <w:jc w:val="both"/>
        <w:rPr>
          <w:rFonts w:ascii="Tele-GroteskEEHal" w:hAnsi="Tele-GroteskEEHal" w:cs="Tahoma"/>
          <w:sz w:val="22"/>
          <w:szCs w:val="22"/>
          <w:lang w:val="hr-HR"/>
        </w:rPr>
      </w:pPr>
      <w:r w:rsidRPr="00960D6B">
        <w:rPr>
          <w:rFonts w:ascii="Tele-GroteskEEHal" w:hAnsi="Tele-GroteskEEHal" w:cs="Tahoma"/>
          <w:sz w:val="22"/>
          <w:szCs w:val="22"/>
          <w:lang w:val="hr-HR"/>
        </w:rPr>
        <w:t>T-HT je zadržao vodeći položaj na sva tri tržišta (tržištu pokretnih komunikacija, nepokretnih komunikacija i IP-a)</w:t>
      </w:r>
    </w:p>
    <w:p w:rsidR="003E4626" w:rsidRPr="004B2998" w:rsidRDefault="003E4626" w:rsidP="00205FEA">
      <w:pPr>
        <w:numPr>
          <w:ilvl w:val="0"/>
          <w:numId w:val="5"/>
        </w:numPr>
        <w:jc w:val="both"/>
        <w:rPr>
          <w:rFonts w:ascii="Tele-GroteskEEHal" w:hAnsi="Tele-GroteskEEHal" w:cs="Tahoma"/>
          <w:sz w:val="22"/>
          <w:szCs w:val="22"/>
          <w:lang w:val="hr-HR"/>
        </w:rPr>
      </w:pPr>
      <w:r w:rsidRPr="004B2998">
        <w:rPr>
          <w:rFonts w:ascii="Tele-GroteskEEHal" w:hAnsi="Tele-GroteskEEHal" w:cs="Tahoma"/>
          <w:sz w:val="22"/>
          <w:szCs w:val="22"/>
          <w:lang w:val="hr-HR"/>
        </w:rPr>
        <w:t>Uvedene su nove tarife za pokretne komunikacije za cijeli niz korisničkih segmenata</w:t>
      </w:r>
    </w:p>
    <w:p w:rsidR="003E4626" w:rsidRPr="004B2998" w:rsidRDefault="003E4626" w:rsidP="00205FEA">
      <w:pPr>
        <w:numPr>
          <w:ilvl w:val="0"/>
          <w:numId w:val="5"/>
        </w:numPr>
        <w:jc w:val="both"/>
        <w:rPr>
          <w:rFonts w:ascii="Tele-GroteskEEHal" w:hAnsi="Tele-GroteskEEHal" w:cs="Tahoma"/>
          <w:sz w:val="22"/>
          <w:szCs w:val="22"/>
          <w:lang w:val="hr-HR"/>
        </w:rPr>
      </w:pPr>
      <w:r w:rsidRPr="004B2998">
        <w:rPr>
          <w:rFonts w:ascii="Tele-GroteskEEHal" w:hAnsi="Tele-GroteskEEHal" w:cs="Tahoma"/>
          <w:sz w:val="22"/>
          <w:szCs w:val="22"/>
          <w:lang w:val="hr-HR"/>
        </w:rPr>
        <w:t>Broj pretplatnika usluga u pokretnoj mreži povećao se za 3,5% (povećanje od 2,9% u odnosu na drugo tromjesečje 2011.) nakon promjene definicije prepaid korisnika kako je navedeno na stranici 8.</w:t>
      </w:r>
    </w:p>
    <w:p w:rsidR="003E4626" w:rsidRPr="004B2998" w:rsidRDefault="003E4626" w:rsidP="00205FEA">
      <w:pPr>
        <w:numPr>
          <w:ilvl w:val="0"/>
          <w:numId w:val="5"/>
        </w:numPr>
        <w:jc w:val="both"/>
        <w:rPr>
          <w:rFonts w:ascii="Tele-GroteskEEHal" w:hAnsi="Tele-GroteskEEHal" w:cs="Tahoma"/>
          <w:sz w:val="22"/>
          <w:szCs w:val="22"/>
          <w:lang w:val="hr-HR"/>
        </w:rPr>
      </w:pPr>
      <w:r w:rsidRPr="004B2998">
        <w:rPr>
          <w:rFonts w:ascii="Tele-GroteskEEHal" w:hAnsi="Tele-GroteskEEHal" w:cs="Tahoma"/>
          <w:sz w:val="22"/>
          <w:szCs w:val="22"/>
          <w:lang w:val="hr-HR"/>
        </w:rPr>
        <w:t>Broj ADSL priključaka iznosio je 538.443, što je povećanje od 8,3% u odnosu na treće tromjesečje 2010. (smanjenje od 0,1% u odnosu na drugo tromjesečje 2011.), dok je broj televizijskih korisnika iznosio 317.847, što je povećanje od 21,7% (povećanje od 4,6% u odnosu na drugo tromjesečje 2011.)</w:t>
      </w:r>
    </w:p>
    <w:p w:rsidR="003E4626" w:rsidRPr="00960D6B" w:rsidRDefault="003E4626" w:rsidP="00205FEA">
      <w:pPr>
        <w:numPr>
          <w:ilvl w:val="0"/>
          <w:numId w:val="23"/>
        </w:numPr>
        <w:jc w:val="both"/>
        <w:rPr>
          <w:rFonts w:ascii="Tele-GroteskEEHal" w:hAnsi="Tele-GroteskEEHal" w:cs="Tahoma"/>
          <w:sz w:val="22"/>
          <w:szCs w:val="22"/>
          <w:lang w:val="hr-HR"/>
        </w:rPr>
      </w:pPr>
      <w:r w:rsidRPr="00960D6B">
        <w:rPr>
          <w:rFonts w:ascii="Tele-GroteskEEHal" w:hAnsi="Tele-GroteskEEHal"/>
          <w:color w:val="000000"/>
          <w:sz w:val="22"/>
          <w:lang w:val="hr-HR"/>
        </w:rPr>
        <w:t>Prihodi su se smanjili za 5,0%, u velikoj mjeri zbog manjih prihoda od govornih usluga u pokretnoj i nepokretnoj mreži te manjih prihoda od negovornih usluga u pokretnoj mreži</w:t>
      </w:r>
    </w:p>
    <w:p w:rsidR="003E4626" w:rsidRPr="004B2998" w:rsidRDefault="003E4626" w:rsidP="00205FEA">
      <w:pPr>
        <w:numPr>
          <w:ilvl w:val="0"/>
          <w:numId w:val="23"/>
        </w:numPr>
        <w:jc w:val="both"/>
        <w:rPr>
          <w:rFonts w:ascii="Tele-GroteskEEHal" w:hAnsi="Tele-GroteskEEHal" w:cs="Tahoma"/>
          <w:sz w:val="22"/>
          <w:szCs w:val="22"/>
          <w:lang w:val="hr-HR"/>
        </w:rPr>
      </w:pPr>
      <w:r w:rsidRPr="00960D6B">
        <w:rPr>
          <w:rFonts w:ascii="Tele-GroteskEEHal" w:hAnsi="Tele-GroteskEEHal"/>
          <w:color w:val="000000"/>
          <w:sz w:val="22"/>
          <w:lang w:val="hr-HR"/>
        </w:rPr>
        <w:t>Doprinos EBITDA-i u iznosu od 2.248 milijuna kuna manji je za 2,0%</w:t>
      </w:r>
    </w:p>
    <w:p w:rsidR="003E4626" w:rsidRDefault="003E4626" w:rsidP="003373BC">
      <w:pPr>
        <w:jc w:val="both"/>
        <w:rPr>
          <w:rFonts w:ascii="Tele-GroteskEEHal" w:hAnsi="Tele-GroteskEEHal"/>
          <w:color w:val="000000"/>
          <w:sz w:val="22"/>
          <w:lang w:val="hr-HR"/>
        </w:rPr>
      </w:pPr>
    </w:p>
    <w:tbl>
      <w:tblPr>
        <w:tblW w:w="8880" w:type="dxa"/>
        <w:tblInd w:w="108" w:type="dxa"/>
        <w:tblLook w:val="0000"/>
      </w:tblPr>
      <w:tblGrid>
        <w:gridCol w:w="4320"/>
        <w:gridCol w:w="1380"/>
        <w:gridCol w:w="1380"/>
        <w:gridCol w:w="1640"/>
        <w:gridCol w:w="160"/>
      </w:tblGrid>
      <w:tr w:rsidR="003E4626" w:rsidRPr="003407DA" w:rsidTr="009947B9">
        <w:trPr>
          <w:gridAfter w:val="1"/>
          <w:wAfter w:w="160" w:type="dxa"/>
          <w:trHeight w:val="799"/>
        </w:trPr>
        <w:tc>
          <w:tcPr>
            <w:tcW w:w="4320" w:type="dxa"/>
            <w:tcBorders>
              <w:top w:val="single" w:sz="4" w:space="0" w:color="auto"/>
              <w:left w:val="nil"/>
              <w:bottom w:val="single" w:sz="4" w:space="0" w:color="auto"/>
              <w:right w:val="nil"/>
            </w:tcBorders>
            <w:shd w:val="clear" w:color="auto" w:fill="E20074"/>
            <w:vAlign w:val="center"/>
          </w:tcPr>
          <w:p w:rsidR="003E4626" w:rsidRPr="003407DA" w:rsidRDefault="003E4626" w:rsidP="003407DA">
            <w:pPr>
              <w:suppressAutoHyphens w:val="0"/>
              <w:rPr>
                <w:rFonts w:ascii="Tele-GroteskEEHal" w:hAnsi="Tele-GroteskEEHal"/>
                <w:b/>
                <w:bCs/>
                <w:color w:val="FFFFFF"/>
                <w:kern w:val="0"/>
                <w:lang w:val="hr-HR" w:eastAsia="hr-HR"/>
              </w:rPr>
            </w:pPr>
            <w:r w:rsidRPr="003407DA">
              <w:rPr>
                <w:rFonts w:ascii="Tele-GroteskEEHal" w:hAnsi="Tele-GroteskEEHal"/>
                <w:b/>
                <w:bCs/>
                <w:color w:val="FFFFFF"/>
                <w:kern w:val="0"/>
                <w:sz w:val="22"/>
                <w:szCs w:val="22"/>
                <w:lang w:val="hr-HR" w:eastAsia="hr-HR"/>
              </w:rPr>
              <w:t>Ključni podaci o redovnom poslovanju</w:t>
            </w:r>
          </w:p>
        </w:tc>
        <w:tc>
          <w:tcPr>
            <w:tcW w:w="1380" w:type="dxa"/>
            <w:tcBorders>
              <w:top w:val="single" w:sz="4" w:space="0" w:color="auto"/>
              <w:left w:val="nil"/>
              <w:bottom w:val="single" w:sz="4" w:space="0" w:color="auto"/>
              <w:right w:val="nil"/>
            </w:tcBorders>
            <w:shd w:val="clear" w:color="auto" w:fill="E20074"/>
            <w:vAlign w:val="center"/>
          </w:tcPr>
          <w:p w:rsidR="003E4626" w:rsidRPr="003407DA" w:rsidRDefault="003E4626" w:rsidP="003407DA">
            <w:pPr>
              <w:suppressAutoHyphens w:val="0"/>
              <w:jc w:val="right"/>
              <w:rPr>
                <w:rFonts w:ascii="Tele-GroteskEEHal" w:hAnsi="Tele-GroteskEEHal"/>
                <w:b/>
                <w:bCs/>
                <w:color w:val="FFFFFF"/>
                <w:kern w:val="0"/>
                <w:lang w:val="hr-HR" w:eastAsia="hr-HR"/>
              </w:rPr>
            </w:pPr>
            <w:r w:rsidRPr="003407DA">
              <w:rPr>
                <w:rFonts w:ascii="Tele-GroteskEEHal" w:hAnsi="Tele-GroteskEEHal"/>
                <w:b/>
                <w:bCs/>
                <w:color w:val="FFFFFF"/>
                <w:kern w:val="0"/>
                <w:sz w:val="22"/>
                <w:szCs w:val="22"/>
                <w:lang w:val="hr-HR" w:eastAsia="hr-HR"/>
              </w:rPr>
              <w:t xml:space="preserve">Sij.-Ruj. </w:t>
            </w:r>
            <w:r w:rsidRPr="003407DA">
              <w:rPr>
                <w:rFonts w:ascii="Tele-GroteskEEHal" w:hAnsi="Tele-GroteskEEHal"/>
                <w:b/>
                <w:bCs/>
                <w:color w:val="FFFFFF"/>
                <w:kern w:val="0"/>
                <w:sz w:val="22"/>
                <w:szCs w:val="22"/>
                <w:lang w:val="hr-HR" w:eastAsia="hr-HR"/>
              </w:rPr>
              <w:br/>
              <w:t>2011.</w:t>
            </w:r>
          </w:p>
        </w:tc>
        <w:tc>
          <w:tcPr>
            <w:tcW w:w="1380" w:type="dxa"/>
            <w:tcBorders>
              <w:top w:val="single" w:sz="4" w:space="0" w:color="auto"/>
              <w:left w:val="nil"/>
              <w:bottom w:val="single" w:sz="4" w:space="0" w:color="auto"/>
              <w:right w:val="nil"/>
            </w:tcBorders>
            <w:shd w:val="clear" w:color="auto" w:fill="E20074"/>
            <w:vAlign w:val="center"/>
          </w:tcPr>
          <w:p w:rsidR="003E4626" w:rsidRPr="003407DA" w:rsidRDefault="003E4626" w:rsidP="003407DA">
            <w:pPr>
              <w:suppressAutoHyphens w:val="0"/>
              <w:jc w:val="right"/>
              <w:rPr>
                <w:rFonts w:ascii="Tele-GroteskEEHal" w:hAnsi="Tele-GroteskEEHal"/>
                <w:b/>
                <w:bCs/>
                <w:color w:val="FFFFFF"/>
                <w:kern w:val="0"/>
                <w:lang w:val="hr-HR" w:eastAsia="hr-HR"/>
              </w:rPr>
            </w:pPr>
            <w:r w:rsidRPr="003407DA">
              <w:rPr>
                <w:rFonts w:ascii="Tele-GroteskEEHal" w:hAnsi="Tele-GroteskEEHal"/>
                <w:b/>
                <w:bCs/>
                <w:color w:val="FFFFFF"/>
                <w:kern w:val="0"/>
                <w:sz w:val="22"/>
                <w:szCs w:val="22"/>
                <w:lang w:val="hr-HR" w:eastAsia="hr-HR"/>
              </w:rPr>
              <w:t xml:space="preserve">Sij.-Ruj. </w:t>
            </w:r>
            <w:r w:rsidRPr="003407DA">
              <w:rPr>
                <w:rFonts w:ascii="Tele-GroteskEEHal" w:hAnsi="Tele-GroteskEEHal"/>
                <w:b/>
                <w:bCs/>
                <w:color w:val="FFFFFF"/>
                <w:kern w:val="0"/>
                <w:sz w:val="22"/>
                <w:szCs w:val="22"/>
                <w:lang w:val="hr-HR" w:eastAsia="hr-HR"/>
              </w:rPr>
              <w:br/>
              <w:t>2010.</w:t>
            </w:r>
          </w:p>
        </w:tc>
        <w:tc>
          <w:tcPr>
            <w:tcW w:w="1640" w:type="dxa"/>
            <w:tcBorders>
              <w:top w:val="single" w:sz="4" w:space="0" w:color="auto"/>
              <w:left w:val="nil"/>
              <w:bottom w:val="single" w:sz="4" w:space="0" w:color="auto"/>
              <w:right w:val="nil"/>
            </w:tcBorders>
            <w:shd w:val="clear" w:color="auto" w:fill="E20074"/>
            <w:vAlign w:val="center"/>
          </w:tcPr>
          <w:p w:rsidR="003E4626" w:rsidRPr="003407DA" w:rsidRDefault="003E4626" w:rsidP="003407DA">
            <w:pPr>
              <w:suppressAutoHyphens w:val="0"/>
              <w:jc w:val="right"/>
              <w:rPr>
                <w:rFonts w:ascii="Tele-GroteskEEHal" w:hAnsi="Tele-GroteskEEHal"/>
                <w:b/>
                <w:bCs/>
                <w:i/>
                <w:iCs/>
                <w:color w:val="FFFFFF"/>
                <w:kern w:val="0"/>
                <w:lang w:val="hr-HR" w:eastAsia="hr-HR"/>
              </w:rPr>
            </w:pPr>
            <w:r w:rsidRPr="003407DA">
              <w:rPr>
                <w:rFonts w:ascii="Tele-GroteskEEHal" w:hAnsi="Tele-GroteskEEHal"/>
                <w:b/>
                <w:bCs/>
                <w:i/>
                <w:iCs/>
                <w:color w:val="FFFFFF"/>
                <w:kern w:val="0"/>
                <w:sz w:val="22"/>
                <w:szCs w:val="22"/>
                <w:lang w:val="hr-HR" w:eastAsia="hr-HR"/>
              </w:rPr>
              <w:t xml:space="preserve">% promjene </w:t>
            </w:r>
            <w:r w:rsidRPr="003407DA">
              <w:rPr>
                <w:rFonts w:ascii="Tele-GroteskEEHal" w:hAnsi="Tele-GroteskEEHal"/>
                <w:b/>
                <w:bCs/>
                <w:i/>
                <w:iCs/>
                <w:color w:val="FFFFFF"/>
                <w:kern w:val="0"/>
                <w:sz w:val="22"/>
                <w:szCs w:val="22"/>
                <w:lang w:val="hr-HR" w:eastAsia="hr-HR"/>
              </w:rPr>
              <w:br/>
              <w:t>11/10</w:t>
            </w:r>
          </w:p>
        </w:tc>
      </w:tr>
      <w:tr w:rsidR="003E4626" w:rsidRPr="003407DA" w:rsidTr="009947B9">
        <w:trPr>
          <w:gridAfter w:val="1"/>
          <w:wAfter w:w="160" w:type="dxa"/>
          <w:trHeight w:val="300"/>
        </w:trPr>
        <w:tc>
          <w:tcPr>
            <w:tcW w:w="432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color w:val="000000"/>
                <w:kern w:val="0"/>
                <w:lang w:val="hr-HR" w:eastAsia="hr-HR"/>
              </w:rPr>
            </w:pPr>
          </w:p>
        </w:tc>
        <w:tc>
          <w:tcPr>
            <w:tcW w:w="138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color w:val="FF0000"/>
                <w:kern w:val="0"/>
                <w:lang w:val="hr-HR" w:eastAsia="hr-HR"/>
              </w:rPr>
            </w:pPr>
          </w:p>
        </w:tc>
        <w:tc>
          <w:tcPr>
            <w:tcW w:w="138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color w:val="FF0000"/>
                <w:kern w:val="0"/>
                <w:lang w:val="hr-HR" w:eastAsia="hr-HR"/>
              </w:rPr>
            </w:pPr>
          </w:p>
        </w:tc>
        <w:tc>
          <w:tcPr>
            <w:tcW w:w="164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i/>
                <w:iCs/>
                <w:color w:val="FF0000"/>
                <w:kern w:val="0"/>
                <w:lang w:val="hr-HR" w:eastAsia="hr-HR"/>
              </w:rPr>
            </w:pPr>
          </w:p>
        </w:tc>
      </w:tr>
      <w:tr w:rsidR="003E4626" w:rsidRPr="003407DA" w:rsidTr="009947B9">
        <w:trPr>
          <w:gridAfter w:val="1"/>
          <w:wAfter w:w="160" w:type="dxa"/>
          <w:trHeight w:val="600"/>
        </w:trPr>
        <w:tc>
          <w:tcPr>
            <w:tcW w:w="432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Mobilni Pretplatnici u 000</w:t>
            </w:r>
          </w:p>
        </w:tc>
        <w:tc>
          <w:tcPr>
            <w:tcW w:w="138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color w:val="FF0000"/>
                <w:kern w:val="0"/>
                <w:lang w:val="hr-HR" w:eastAsia="hr-HR"/>
              </w:rPr>
            </w:pPr>
            <w:r w:rsidRPr="003407DA">
              <w:rPr>
                <w:rFonts w:ascii="Tele-GroteskEEHal" w:hAnsi="Tele-GroteskEEHal"/>
                <w:b/>
                <w:bCs/>
                <w:color w:val="FF0000"/>
                <w:kern w:val="0"/>
                <w:sz w:val="22"/>
                <w:szCs w:val="22"/>
                <w:lang w:val="hr-HR" w:eastAsia="hr-HR"/>
              </w:rPr>
              <w:t> </w:t>
            </w:r>
          </w:p>
        </w:tc>
        <w:tc>
          <w:tcPr>
            <w:tcW w:w="138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color w:val="FF0000"/>
                <w:kern w:val="0"/>
                <w:lang w:val="hr-HR" w:eastAsia="hr-HR"/>
              </w:rPr>
            </w:pPr>
            <w:r w:rsidRPr="003407DA">
              <w:rPr>
                <w:rFonts w:ascii="Tele-GroteskEEHal" w:hAnsi="Tele-GroteskEEHal"/>
                <w:b/>
                <w:bCs/>
                <w:color w:val="FF0000"/>
                <w:kern w:val="0"/>
                <w:sz w:val="22"/>
                <w:szCs w:val="22"/>
                <w:lang w:val="hr-HR" w:eastAsia="hr-HR"/>
              </w:rPr>
              <w:t> </w:t>
            </w:r>
          </w:p>
        </w:tc>
        <w:tc>
          <w:tcPr>
            <w:tcW w:w="164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color w:val="FF0000"/>
                <w:kern w:val="0"/>
                <w:lang w:val="hr-HR" w:eastAsia="hr-HR"/>
              </w:rPr>
            </w:pPr>
            <w:r w:rsidRPr="003407DA">
              <w:rPr>
                <w:rFonts w:ascii="Tele-GroteskEEHal" w:hAnsi="Tele-GroteskEEHal"/>
                <w:b/>
                <w:bCs/>
                <w:color w:val="FF0000"/>
                <w:kern w:val="0"/>
                <w:sz w:val="22"/>
                <w:szCs w:val="22"/>
                <w:lang w:val="hr-HR" w:eastAsia="hr-HR"/>
              </w:rPr>
              <w:t> </w:t>
            </w:r>
          </w:p>
        </w:tc>
      </w:tr>
      <w:tr w:rsidR="003E4626" w:rsidRPr="003407DA" w:rsidTr="009947B9">
        <w:trPr>
          <w:gridAfter w:val="1"/>
          <w:wAfter w:w="160" w:type="dxa"/>
          <w:trHeight w:val="420"/>
        </w:trPr>
        <w:tc>
          <w:tcPr>
            <w:tcW w:w="4320" w:type="dxa"/>
            <w:tcBorders>
              <w:top w:val="nil"/>
              <w:left w:val="nil"/>
              <w:bottom w:val="single" w:sz="4" w:space="0" w:color="auto"/>
              <w:right w:val="nil"/>
            </w:tcBorders>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Broj pretplatnika</w:t>
            </w:r>
            <w:r w:rsidRPr="003407DA">
              <w:rPr>
                <w:rFonts w:ascii="Tele-GroteskEEHal" w:hAnsi="Tele-GroteskEEHal"/>
                <w:b/>
                <w:bCs/>
                <w:kern w:val="0"/>
                <w:sz w:val="22"/>
                <w:szCs w:val="22"/>
                <w:vertAlign w:val="superscript"/>
                <w:lang w:val="hr-HR" w:eastAsia="hr-HR"/>
              </w:rPr>
              <w:t>3)</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2.031</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1.964</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3,5%</w:t>
            </w:r>
          </w:p>
        </w:tc>
      </w:tr>
      <w:tr w:rsidR="003E4626" w:rsidRPr="003407DA" w:rsidTr="009947B9">
        <w:trPr>
          <w:gridAfter w:val="1"/>
          <w:wAfter w:w="160" w:type="dxa"/>
          <w:trHeight w:val="702"/>
        </w:trPr>
        <w:tc>
          <w:tcPr>
            <w:tcW w:w="4320" w:type="dxa"/>
            <w:tcBorders>
              <w:top w:val="single" w:sz="4" w:space="0" w:color="auto"/>
              <w:left w:val="nil"/>
              <w:bottom w:val="single" w:sz="4" w:space="0" w:color="auto"/>
              <w:right w:val="nil"/>
            </w:tcBorders>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Minute korištenja (MOU) po prosječnom korisniku</w:t>
            </w:r>
            <w:r>
              <w:rPr>
                <w:rFonts w:ascii="Tele-GroteskEEHal" w:hAnsi="Tele-GroteskEEHal"/>
                <w:b/>
                <w:bCs/>
                <w:kern w:val="0"/>
                <w:sz w:val="22"/>
                <w:szCs w:val="22"/>
                <w:vertAlign w:val="superscript"/>
                <w:lang w:val="hr-HR" w:eastAsia="hr-HR"/>
              </w:rPr>
              <w:t>3)</w:t>
            </w:r>
          </w:p>
        </w:tc>
        <w:tc>
          <w:tcPr>
            <w:tcW w:w="1380" w:type="dxa"/>
            <w:tcBorders>
              <w:top w:val="single" w:sz="4" w:space="0" w:color="auto"/>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100</w:t>
            </w:r>
          </w:p>
        </w:tc>
        <w:tc>
          <w:tcPr>
            <w:tcW w:w="1380" w:type="dxa"/>
            <w:tcBorders>
              <w:top w:val="single" w:sz="4" w:space="0" w:color="auto"/>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97</w:t>
            </w:r>
          </w:p>
        </w:tc>
        <w:tc>
          <w:tcPr>
            <w:tcW w:w="1640" w:type="dxa"/>
            <w:tcBorders>
              <w:top w:val="single" w:sz="4" w:space="0" w:color="auto"/>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3,4%</w:t>
            </w:r>
          </w:p>
        </w:tc>
      </w:tr>
      <w:tr w:rsidR="003E4626" w:rsidRPr="003407DA" w:rsidTr="009947B9">
        <w:trPr>
          <w:gridAfter w:val="1"/>
          <w:wAfter w:w="160" w:type="dxa"/>
          <w:trHeight w:val="702"/>
        </w:trPr>
        <w:tc>
          <w:tcPr>
            <w:tcW w:w="4320" w:type="dxa"/>
            <w:tcBorders>
              <w:top w:val="nil"/>
              <w:left w:val="nil"/>
              <w:bottom w:val="single" w:sz="4" w:space="0" w:color="auto"/>
              <w:right w:val="nil"/>
            </w:tcBorders>
            <w:vAlign w:val="center"/>
          </w:tcPr>
          <w:p w:rsidR="003E4626" w:rsidRPr="003407DA" w:rsidRDefault="003E4626" w:rsidP="003407DA">
            <w:pPr>
              <w:suppressAutoHyphens w:val="0"/>
              <w:rPr>
                <w:rFonts w:ascii="Tele-GroteskEEHal" w:hAnsi="Tele-GroteskEEHal"/>
                <w:b/>
                <w:bCs/>
                <w:color w:val="000000"/>
                <w:kern w:val="0"/>
                <w:lang w:val="hr-HR" w:eastAsia="hr-HR"/>
              </w:rPr>
            </w:pPr>
            <w:r w:rsidRPr="003407DA">
              <w:rPr>
                <w:rFonts w:ascii="Tele-GroteskEEHal" w:hAnsi="Tele-GroteskEEHal"/>
                <w:b/>
                <w:bCs/>
                <w:color w:val="000000"/>
                <w:kern w:val="0"/>
                <w:sz w:val="22"/>
                <w:szCs w:val="22"/>
                <w:lang w:val="hr-HR" w:eastAsia="hr-HR"/>
              </w:rPr>
              <w:t>Prosječni ARPU</w:t>
            </w:r>
            <w:r w:rsidRPr="003407DA">
              <w:rPr>
                <w:rFonts w:ascii="Tele-GroteskEEHal" w:hAnsi="Tele-GroteskEEHal"/>
                <w:b/>
                <w:bCs/>
                <w:color w:val="000000"/>
                <w:kern w:val="0"/>
                <w:sz w:val="22"/>
                <w:szCs w:val="22"/>
                <w:lang w:val="hr-HR" w:eastAsia="hr-HR"/>
              </w:rPr>
              <w:br/>
              <w:t>(mjesečni prosjek za period u HRK)</w:t>
            </w:r>
            <w:r>
              <w:rPr>
                <w:rFonts w:ascii="Tele-GroteskEEHal" w:hAnsi="Tele-GroteskEEHal"/>
                <w:b/>
                <w:bCs/>
                <w:kern w:val="0"/>
                <w:sz w:val="22"/>
                <w:szCs w:val="22"/>
                <w:vertAlign w:val="superscript"/>
                <w:lang w:val="hr-HR" w:eastAsia="hr-HR"/>
              </w:rPr>
              <w:t xml:space="preserve"> 3)</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73</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85</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-13,5%</w:t>
            </w:r>
          </w:p>
        </w:tc>
      </w:tr>
      <w:tr w:rsidR="003E4626" w:rsidRPr="003407DA" w:rsidTr="009947B9">
        <w:trPr>
          <w:gridAfter w:val="1"/>
          <w:wAfter w:w="160" w:type="dxa"/>
          <w:trHeight w:val="300"/>
        </w:trPr>
        <w:tc>
          <w:tcPr>
            <w:tcW w:w="432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color w:val="000000"/>
                <w:kern w:val="0"/>
                <w:lang w:val="hr-HR" w:eastAsia="hr-HR"/>
              </w:rPr>
            </w:pPr>
          </w:p>
        </w:tc>
        <w:tc>
          <w:tcPr>
            <w:tcW w:w="138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color w:val="FF0000"/>
                <w:kern w:val="0"/>
                <w:lang w:val="hr-HR" w:eastAsia="hr-HR"/>
              </w:rPr>
            </w:pPr>
          </w:p>
        </w:tc>
        <w:tc>
          <w:tcPr>
            <w:tcW w:w="138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color w:val="FF0000"/>
                <w:kern w:val="0"/>
                <w:lang w:val="hr-HR" w:eastAsia="hr-HR"/>
              </w:rPr>
            </w:pPr>
          </w:p>
        </w:tc>
        <w:tc>
          <w:tcPr>
            <w:tcW w:w="164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i/>
                <w:iCs/>
                <w:color w:val="FF0000"/>
                <w:kern w:val="0"/>
                <w:lang w:val="hr-HR" w:eastAsia="hr-HR"/>
              </w:rPr>
            </w:pPr>
          </w:p>
        </w:tc>
      </w:tr>
      <w:tr w:rsidR="003E4626" w:rsidRPr="003407DA" w:rsidTr="009947B9">
        <w:trPr>
          <w:gridAfter w:val="1"/>
          <w:wAfter w:w="160" w:type="dxa"/>
          <w:trHeight w:val="600"/>
        </w:trPr>
        <w:tc>
          <w:tcPr>
            <w:tcW w:w="432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Korisnici nepokretnih usluga u 000</w:t>
            </w:r>
          </w:p>
        </w:tc>
        <w:tc>
          <w:tcPr>
            <w:tcW w:w="138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color w:val="FF0000"/>
                <w:kern w:val="0"/>
                <w:lang w:val="hr-HR" w:eastAsia="hr-HR"/>
              </w:rPr>
            </w:pPr>
            <w:r w:rsidRPr="003407DA">
              <w:rPr>
                <w:rFonts w:ascii="Tele-GroteskEEHal" w:hAnsi="Tele-GroteskEEHal"/>
                <w:b/>
                <w:bCs/>
                <w:color w:val="FF0000"/>
                <w:kern w:val="0"/>
                <w:sz w:val="22"/>
                <w:szCs w:val="22"/>
                <w:lang w:val="hr-HR" w:eastAsia="hr-HR"/>
              </w:rPr>
              <w:t> </w:t>
            </w:r>
          </w:p>
        </w:tc>
        <w:tc>
          <w:tcPr>
            <w:tcW w:w="138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color w:val="FF0000"/>
                <w:kern w:val="0"/>
                <w:lang w:val="hr-HR" w:eastAsia="hr-HR"/>
              </w:rPr>
            </w:pPr>
            <w:r w:rsidRPr="003407DA">
              <w:rPr>
                <w:rFonts w:ascii="Tele-GroteskEEHal" w:hAnsi="Tele-GroteskEEHal"/>
                <w:b/>
                <w:bCs/>
                <w:color w:val="FF0000"/>
                <w:kern w:val="0"/>
                <w:sz w:val="22"/>
                <w:szCs w:val="22"/>
                <w:lang w:val="hr-HR" w:eastAsia="hr-HR"/>
              </w:rPr>
              <w:t> </w:t>
            </w:r>
          </w:p>
        </w:tc>
        <w:tc>
          <w:tcPr>
            <w:tcW w:w="164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i/>
                <w:iCs/>
                <w:color w:val="FF0000"/>
                <w:kern w:val="0"/>
                <w:lang w:val="hr-HR" w:eastAsia="hr-HR"/>
              </w:rPr>
            </w:pPr>
            <w:r w:rsidRPr="003407DA">
              <w:rPr>
                <w:rFonts w:ascii="Tele-GroteskEEHal" w:hAnsi="Tele-GroteskEEHal"/>
                <w:b/>
                <w:bCs/>
                <w:i/>
                <w:iCs/>
                <w:color w:val="FF0000"/>
                <w:kern w:val="0"/>
                <w:sz w:val="22"/>
                <w:szCs w:val="22"/>
                <w:lang w:val="hr-HR" w:eastAsia="hr-HR"/>
              </w:rPr>
              <w:t> </w:t>
            </w:r>
          </w:p>
        </w:tc>
      </w:tr>
      <w:tr w:rsidR="003E4626" w:rsidRPr="003407DA" w:rsidTr="009947B9">
        <w:trPr>
          <w:gridAfter w:val="1"/>
          <w:wAfter w:w="160" w:type="dxa"/>
          <w:trHeight w:val="420"/>
        </w:trPr>
        <w:tc>
          <w:tcPr>
            <w:tcW w:w="4320" w:type="dxa"/>
            <w:tcBorders>
              <w:top w:val="nil"/>
              <w:left w:val="nil"/>
              <w:bottom w:val="single" w:sz="4" w:space="0" w:color="auto"/>
              <w:right w:val="nil"/>
            </w:tcBorders>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Ukupne telefonske linije</w:t>
            </w:r>
            <w:r w:rsidRPr="003407DA">
              <w:rPr>
                <w:rFonts w:ascii="Tele-GroteskEEHal" w:hAnsi="Tele-GroteskEEHal"/>
                <w:b/>
                <w:bCs/>
                <w:kern w:val="0"/>
                <w:sz w:val="22"/>
                <w:szCs w:val="22"/>
                <w:vertAlign w:val="superscript"/>
                <w:lang w:val="hr-HR" w:eastAsia="hr-HR"/>
              </w:rPr>
              <w:t>1)</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1.123</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1.225</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-8,3%</w:t>
            </w:r>
          </w:p>
        </w:tc>
      </w:tr>
      <w:tr w:rsidR="003E4626" w:rsidRPr="003407DA" w:rsidTr="009947B9">
        <w:trPr>
          <w:gridAfter w:val="1"/>
          <w:wAfter w:w="160" w:type="dxa"/>
          <w:trHeight w:val="420"/>
        </w:trPr>
        <w:tc>
          <w:tcPr>
            <w:tcW w:w="4320" w:type="dxa"/>
            <w:tcBorders>
              <w:top w:val="nil"/>
              <w:left w:val="nil"/>
              <w:bottom w:val="single" w:sz="4" w:space="0" w:color="auto"/>
              <w:right w:val="nil"/>
            </w:tcBorders>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Ukupni promet (milijuni minuta)</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1.558</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1.733</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-10,1%</w:t>
            </w:r>
          </w:p>
        </w:tc>
      </w:tr>
      <w:tr w:rsidR="003E4626" w:rsidRPr="003407DA" w:rsidTr="009947B9">
        <w:trPr>
          <w:gridAfter w:val="1"/>
          <w:wAfter w:w="160" w:type="dxa"/>
          <w:trHeight w:val="702"/>
        </w:trPr>
        <w:tc>
          <w:tcPr>
            <w:tcW w:w="4320" w:type="dxa"/>
            <w:tcBorders>
              <w:top w:val="nil"/>
              <w:left w:val="nil"/>
              <w:bottom w:val="single" w:sz="4" w:space="0" w:color="auto"/>
              <w:right w:val="nil"/>
            </w:tcBorders>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 xml:space="preserve">ARPA govornih usluga po pristupu </w:t>
            </w:r>
            <w:r w:rsidRPr="003407DA">
              <w:rPr>
                <w:rFonts w:ascii="Tele-GroteskEEHal" w:hAnsi="Tele-GroteskEEHal"/>
                <w:b/>
                <w:bCs/>
                <w:kern w:val="0"/>
                <w:sz w:val="22"/>
                <w:szCs w:val="22"/>
                <w:lang w:val="hr-HR" w:eastAsia="hr-HR"/>
              </w:rPr>
              <w:br/>
              <w:t>(mjesečni prosjek za period u HRK)</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99</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107</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-7,4%</w:t>
            </w:r>
          </w:p>
        </w:tc>
      </w:tr>
      <w:tr w:rsidR="003E4626" w:rsidRPr="003407DA" w:rsidTr="009947B9">
        <w:trPr>
          <w:gridAfter w:val="1"/>
          <w:wAfter w:w="160" w:type="dxa"/>
          <w:trHeight w:val="300"/>
        </w:trPr>
        <w:tc>
          <w:tcPr>
            <w:tcW w:w="432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color w:val="000000"/>
                <w:kern w:val="0"/>
                <w:lang w:val="hr-HR" w:eastAsia="hr-HR"/>
              </w:rPr>
            </w:pPr>
          </w:p>
        </w:tc>
        <w:tc>
          <w:tcPr>
            <w:tcW w:w="138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kern w:val="0"/>
                <w:lang w:val="hr-HR" w:eastAsia="hr-HR"/>
              </w:rPr>
            </w:pPr>
          </w:p>
        </w:tc>
        <w:tc>
          <w:tcPr>
            <w:tcW w:w="138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kern w:val="0"/>
                <w:lang w:val="hr-HR" w:eastAsia="hr-HR"/>
              </w:rPr>
            </w:pPr>
          </w:p>
        </w:tc>
        <w:tc>
          <w:tcPr>
            <w:tcW w:w="1640" w:type="dxa"/>
            <w:tcBorders>
              <w:top w:val="nil"/>
              <w:left w:val="nil"/>
              <w:bottom w:val="nil"/>
              <w:right w:val="nil"/>
            </w:tcBorders>
            <w:noWrap/>
            <w:vAlign w:val="center"/>
          </w:tcPr>
          <w:p w:rsidR="003E4626" w:rsidRPr="003407DA" w:rsidRDefault="003E4626" w:rsidP="003407DA">
            <w:pPr>
              <w:suppressAutoHyphens w:val="0"/>
              <w:rPr>
                <w:rFonts w:ascii="Tele-GroteskEEHal" w:hAnsi="Tele-GroteskEEHal"/>
                <w:i/>
                <w:iCs/>
                <w:kern w:val="0"/>
                <w:lang w:val="hr-HR" w:eastAsia="hr-HR"/>
              </w:rPr>
            </w:pPr>
          </w:p>
        </w:tc>
      </w:tr>
      <w:tr w:rsidR="003E4626" w:rsidRPr="003407DA" w:rsidTr="009947B9">
        <w:trPr>
          <w:gridAfter w:val="1"/>
          <w:wAfter w:w="160" w:type="dxa"/>
          <w:trHeight w:val="600"/>
        </w:trPr>
        <w:tc>
          <w:tcPr>
            <w:tcW w:w="432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IP linije/korisnici u 000</w:t>
            </w:r>
          </w:p>
        </w:tc>
        <w:tc>
          <w:tcPr>
            <w:tcW w:w="138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 </w:t>
            </w:r>
          </w:p>
        </w:tc>
        <w:tc>
          <w:tcPr>
            <w:tcW w:w="138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 </w:t>
            </w:r>
          </w:p>
        </w:tc>
        <w:tc>
          <w:tcPr>
            <w:tcW w:w="1640" w:type="dxa"/>
            <w:tcBorders>
              <w:top w:val="single" w:sz="4" w:space="0" w:color="auto"/>
              <w:left w:val="nil"/>
              <w:bottom w:val="single" w:sz="4" w:space="0" w:color="auto"/>
              <w:right w:val="nil"/>
            </w:tcBorders>
            <w:shd w:val="clear" w:color="auto" w:fill="EAEAEA"/>
            <w:noWrap/>
            <w:vAlign w:val="center"/>
          </w:tcPr>
          <w:p w:rsidR="003E4626" w:rsidRPr="003407DA" w:rsidRDefault="003E4626" w:rsidP="003407DA">
            <w:pPr>
              <w:suppressAutoHyphens w:val="0"/>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 </w:t>
            </w:r>
          </w:p>
        </w:tc>
      </w:tr>
      <w:tr w:rsidR="003E4626" w:rsidRPr="003407DA" w:rsidTr="009947B9">
        <w:trPr>
          <w:gridAfter w:val="1"/>
          <w:wAfter w:w="160" w:type="dxa"/>
          <w:trHeight w:val="420"/>
        </w:trPr>
        <w:tc>
          <w:tcPr>
            <w:tcW w:w="4320" w:type="dxa"/>
            <w:tcBorders>
              <w:top w:val="nil"/>
              <w:left w:val="nil"/>
              <w:bottom w:val="single" w:sz="4" w:space="0" w:color="auto"/>
              <w:right w:val="nil"/>
            </w:tcBorders>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 xml:space="preserve">ADSL linije </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538</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497</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8,3%</w:t>
            </w:r>
          </w:p>
        </w:tc>
      </w:tr>
      <w:tr w:rsidR="003E4626" w:rsidRPr="003407DA" w:rsidTr="009947B9">
        <w:trPr>
          <w:gridAfter w:val="1"/>
          <w:wAfter w:w="160" w:type="dxa"/>
          <w:trHeight w:val="420"/>
        </w:trPr>
        <w:tc>
          <w:tcPr>
            <w:tcW w:w="4320" w:type="dxa"/>
            <w:tcBorders>
              <w:top w:val="nil"/>
              <w:left w:val="nil"/>
              <w:bottom w:val="single" w:sz="4" w:space="0" w:color="auto"/>
              <w:right w:val="nil"/>
            </w:tcBorders>
            <w:noWrap/>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TV korisnici</w:t>
            </w:r>
            <w:r w:rsidRPr="003407DA">
              <w:rPr>
                <w:rFonts w:ascii="Tele-GroteskEEHal" w:hAnsi="Tele-GroteskEEHal"/>
                <w:b/>
                <w:bCs/>
                <w:kern w:val="0"/>
                <w:sz w:val="22"/>
                <w:szCs w:val="22"/>
                <w:vertAlign w:val="superscript"/>
                <w:lang w:val="hr-HR" w:eastAsia="hr-HR"/>
              </w:rPr>
              <w:t>2)</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318</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261</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21,7%</w:t>
            </w:r>
          </w:p>
        </w:tc>
      </w:tr>
      <w:tr w:rsidR="003E4626" w:rsidRPr="003407DA" w:rsidTr="009947B9">
        <w:trPr>
          <w:gridAfter w:val="1"/>
          <w:wAfter w:w="160" w:type="dxa"/>
          <w:trHeight w:val="702"/>
        </w:trPr>
        <w:tc>
          <w:tcPr>
            <w:tcW w:w="4320" w:type="dxa"/>
            <w:tcBorders>
              <w:top w:val="nil"/>
              <w:left w:val="nil"/>
              <w:bottom w:val="single" w:sz="4" w:space="0" w:color="auto"/>
              <w:right w:val="nil"/>
            </w:tcBorders>
            <w:vAlign w:val="center"/>
          </w:tcPr>
          <w:p w:rsidR="003E4626" w:rsidRPr="003407DA" w:rsidRDefault="003E4626" w:rsidP="003407DA">
            <w:pPr>
              <w:suppressAutoHyphens w:val="0"/>
              <w:rPr>
                <w:rFonts w:ascii="Tele-GroteskEEHal" w:hAnsi="Tele-GroteskEEHal"/>
                <w:b/>
                <w:bCs/>
                <w:kern w:val="0"/>
                <w:lang w:val="hr-HR" w:eastAsia="hr-HR"/>
              </w:rPr>
            </w:pPr>
            <w:r w:rsidRPr="003407DA">
              <w:rPr>
                <w:rFonts w:ascii="Tele-GroteskEEHal" w:hAnsi="Tele-GroteskEEHal"/>
                <w:b/>
                <w:bCs/>
                <w:kern w:val="0"/>
                <w:sz w:val="22"/>
                <w:szCs w:val="22"/>
                <w:lang w:val="hr-HR" w:eastAsia="hr-HR"/>
              </w:rPr>
              <w:t xml:space="preserve">ARPA za ADSL linije </w:t>
            </w:r>
            <w:r w:rsidRPr="003407DA">
              <w:rPr>
                <w:rFonts w:ascii="Tele-GroteskEEHal" w:hAnsi="Tele-GroteskEEHal"/>
                <w:b/>
                <w:bCs/>
                <w:kern w:val="0"/>
                <w:sz w:val="22"/>
                <w:szCs w:val="22"/>
                <w:lang w:val="hr-HR" w:eastAsia="hr-HR"/>
              </w:rPr>
              <w:br/>
              <w:t>(mjesečni prosjek za period u HRK)</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118</w:t>
            </w:r>
          </w:p>
        </w:tc>
        <w:tc>
          <w:tcPr>
            <w:tcW w:w="138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kern w:val="0"/>
                <w:lang w:val="hr-HR" w:eastAsia="hr-HR"/>
              </w:rPr>
            </w:pPr>
            <w:r w:rsidRPr="003407DA">
              <w:rPr>
                <w:rFonts w:ascii="Tele-GroteskEEHal" w:hAnsi="Tele-GroteskEEHal"/>
                <w:b/>
                <w:bCs/>
                <w:kern w:val="0"/>
                <w:sz w:val="22"/>
                <w:szCs w:val="22"/>
                <w:lang w:val="hr-HR" w:eastAsia="hr-HR"/>
              </w:rPr>
              <w:t>125</w:t>
            </w:r>
          </w:p>
        </w:tc>
        <w:tc>
          <w:tcPr>
            <w:tcW w:w="1640" w:type="dxa"/>
            <w:tcBorders>
              <w:top w:val="nil"/>
              <w:left w:val="nil"/>
              <w:bottom w:val="single" w:sz="4" w:space="0" w:color="auto"/>
              <w:right w:val="nil"/>
            </w:tcBorders>
            <w:noWrap/>
            <w:vAlign w:val="center"/>
          </w:tcPr>
          <w:p w:rsidR="003E4626" w:rsidRPr="003407DA" w:rsidRDefault="003E4626" w:rsidP="003407DA">
            <w:pPr>
              <w:suppressAutoHyphens w:val="0"/>
              <w:jc w:val="right"/>
              <w:rPr>
                <w:rFonts w:ascii="Tele-GroteskEEHal" w:hAnsi="Tele-GroteskEEHal"/>
                <w:b/>
                <w:bCs/>
                <w:i/>
                <w:iCs/>
                <w:kern w:val="0"/>
                <w:lang w:val="hr-HR" w:eastAsia="hr-HR"/>
              </w:rPr>
            </w:pPr>
            <w:r w:rsidRPr="003407DA">
              <w:rPr>
                <w:rFonts w:ascii="Tele-GroteskEEHal" w:hAnsi="Tele-GroteskEEHal"/>
                <w:b/>
                <w:bCs/>
                <w:i/>
                <w:iCs/>
                <w:kern w:val="0"/>
                <w:sz w:val="22"/>
                <w:szCs w:val="22"/>
                <w:lang w:val="hr-HR" w:eastAsia="hr-HR"/>
              </w:rPr>
              <w:t>-5,9%</w:t>
            </w:r>
          </w:p>
        </w:tc>
      </w:tr>
      <w:tr w:rsidR="003E4626" w:rsidRPr="00960D6B" w:rsidTr="009947B9">
        <w:trPr>
          <w:trHeight w:val="350"/>
        </w:trPr>
        <w:tc>
          <w:tcPr>
            <w:tcW w:w="8880" w:type="dxa"/>
            <w:gridSpan w:val="5"/>
            <w:tcBorders>
              <w:top w:val="nil"/>
              <w:left w:val="nil"/>
              <w:bottom w:val="nil"/>
              <w:right w:val="nil"/>
            </w:tcBorders>
            <w:noWrap/>
            <w:vAlign w:val="center"/>
          </w:tcPr>
          <w:p w:rsidR="003E4626" w:rsidRPr="00960D6B" w:rsidRDefault="003E4626" w:rsidP="00274386">
            <w:pPr>
              <w:suppressAutoHyphens w:val="0"/>
              <w:rPr>
                <w:rFonts w:ascii="Tele-GroteskEEHal" w:hAnsi="Tele-GroteskEEHal"/>
                <w:color w:val="000000"/>
                <w:kern w:val="0"/>
                <w:sz w:val="20"/>
                <w:szCs w:val="20"/>
                <w:lang w:val="hr-HR" w:eastAsia="hr-HR"/>
              </w:rPr>
            </w:pPr>
            <w:r w:rsidRPr="00960D6B">
              <w:rPr>
                <w:rFonts w:ascii="Tele-GroteskEEHal" w:hAnsi="Tele-GroteskEEHal"/>
                <w:color w:val="000000"/>
                <w:kern w:val="0"/>
                <w:sz w:val="20"/>
                <w:szCs w:val="20"/>
                <w:lang w:val="hr-HR" w:eastAsia="hr-HR"/>
              </w:rPr>
              <w:t xml:space="preserve">1) Uključujući POTS+FGSM+ ISDN+telefonske govornice </w:t>
            </w:r>
            <w:r w:rsidRPr="00960D6B">
              <w:rPr>
                <w:rFonts w:ascii="Tele-GroteskEEHal" w:hAnsi="Tele-GroteskEEHal"/>
                <w:vanish/>
                <w:color w:val="000000"/>
                <w:kern w:val="0"/>
                <w:sz w:val="20"/>
                <w:szCs w:val="20"/>
                <w:lang w:val="hr-HR" w:eastAsia="hr-HR"/>
              </w:rPr>
              <w:br/>
              <w:t>N</w:t>
            </w:r>
            <w:r w:rsidRPr="00960D6B">
              <w:rPr>
                <w:rFonts w:ascii="Tele-GroteskEEHal" w:hAnsi="Tele-GroteskEEHal"/>
                <w:vanish/>
                <w:color w:val="000000"/>
                <w:kern w:val="0"/>
                <w:sz w:val="20"/>
                <w:szCs w:val="20"/>
                <w:lang w:val="hr-HR" w:eastAsia="hr-HR"/>
              </w:rPr>
              <w:br w:type="page"/>
              <w:t>_e _</w:t>
            </w:r>
            <w:r w:rsidRPr="00960D6B">
              <w:rPr>
                <w:rFonts w:ascii="Tele-GroteskEEHal" w:hAnsi="Tele-GroteskEEHal" w:cs="Tele-GroteskEEHal"/>
                <w:vanish/>
                <w:color w:val="000000"/>
                <w:kern w:val="0"/>
                <w:sz w:val="20"/>
                <w:szCs w:val="20"/>
                <w:lang w:val="hr-HR" w:eastAsia="hr-HR"/>
              </w:rPr>
              <w:t>ᬀ___WLR (Wholesale Line Rental)2)__ᰀ</w:t>
            </w:r>
            <w:r w:rsidRPr="00960D6B">
              <w:rPr>
                <w:rFonts w:ascii="Tele-GroteskEEHal" w:hAnsi="Tele-GroteskEEHal"/>
                <w:vanish/>
                <w:color w:val="000000"/>
                <w:kern w:val="0"/>
                <w:sz w:val="20"/>
                <w:szCs w:val="20"/>
                <w:lang w:val="hr-HR" w:eastAsia="hr-HR"/>
              </w:rPr>
              <w:t>&amp;&amp;1) Includes POTS</w:t>
            </w:r>
          </w:p>
        </w:tc>
      </w:tr>
      <w:tr w:rsidR="003E4626" w:rsidRPr="00960D6B" w:rsidTr="009947B9">
        <w:trPr>
          <w:trHeight w:val="350"/>
        </w:trPr>
        <w:tc>
          <w:tcPr>
            <w:tcW w:w="8880" w:type="dxa"/>
            <w:gridSpan w:val="5"/>
            <w:tcBorders>
              <w:top w:val="nil"/>
              <w:left w:val="nil"/>
              <w:bottom w:val="nil"/>
              <w:right w:val="nil"/>
            </w:tcBorders>
            <w:noWrap/>
            <w:vAlign w:val="center"/>
          </w:tcPr>
          <w:p w:rsidR="003E4626" w:rsidRPr="00960D6B" w:rsidRDefault="003E4626" w:rsidP="00274386">
            <w:pPr>
              <w:suppressAutoHyphens w:val="0"/>
              <w:rPr>
                <w:rFonts w:ascii="Tele-GroteskEEHal" w:hAnsi="Tele-GroteskEEHal"/>
                <w:color w:val="000000"/>
                <w:kern w:val="0"/>
                <w:sz w:val="20"/>
                <w:szCs w:val="20"/>
                <w:lang w:val="hr-HR" w:eastAsia="hr-HR"/>
              </w:rPr>
            </w:pPr>
            <w:r w:rsidRPr="00960D6B">
              <w:rPr>
                <w:rFonts w:ascii="Tele-GroteskEEHal" w:hAnsi="Tele-GroteskEEHal"/>
                <w:color w:val="000000"/>
                <w:kern w:val="0"/>
                <w:sz w:val="20"/>
                <w:szCs w:val="20"/>
                <w:vertAlign w:val="superscript"/>
                <w:lang w:val="hr-HR" w:eastAsia="hr-HR"/>
              </w:rPr>
              <w:t xml:space="preserve">2) </w:t>
            </w:r>
            <w:r w:rsidRPr="00960D6B">
              <w:rPr>
                <w:rFonts w:ascii="Tele-GroteskEEHal" w:hAnsi="Tele-GroteskEEHal"/>
                <w:color w:val="000000"/>
                <w:kern w:val="0"/>
                <w:sz w:val="20"/>
                <w:szCs w:val="20"/>
                <w:lang w:val="hr-HR" w:eastAsia="hr-HR"/>
              </w:rPr>
              <w:t xml:space="preserve">Uključujući korisnike IPTV-a, DTH i kabelske televizije </w:t>
            </w:r>
          </w:p>
        </w:tc>
      </w:tr>
      <w:tr w:rsidR="003E4626" w:rsidRPr="00960D6B" w:rsidTr="009947B9">
        <w:trPr>
          <w:trHeight w:val="350"/>
        </w:trPr>
        <w:tc>
          <w:tcPr>
            <w:tcW w:w="8880" w:type="dxa"/>
            <w:gridSpan w:val="5"/>
            <w:tcBorders>
              <w:top w:val="nil"/>
              <w:left w:val="nil"/>
              <w:bottom w:val="nil"/>
              <w:right w:val="nil"/>
            </w:tcBorders>
            <w:noWrap/>
            <w:vAlign w:val="center"/>
          </w:tcPr>
          <w:p w:rsidR="003E4626" w:rsidRPr="00960D6B" w:rsidRDefault="003E4626" w:rsidP="00A73435">
            <w:pPr>
              <w:suppressAutoHyphens w:val="0"/>
              <w:rPr>
                <w:rFonts w:ascii="Tele-GroteskEEHal" w:hAnsi="Tele-GroteskEEHal"/>
                <w:bCs/>
                <w:sz w:val="20"/>
                <w:szCs w:val="20"/>
                <w:lang w:val="hr-HR"/>
              </w:rPr>
            </w:pPr>
            <w:r w:rsidRPr="00960D6B">
              <w:rPr>
                <w:rFonts w:ascii="Tele-GroteskEEHal" w:hAnsi="Tele-GroteskEEHal"/>
                <w:kern w:val="0"/>
                <w:sz w:val="20"/>
                <w:szCs w:val="20"/>
                <w:vertAlign w:val="superscript"/>
                <w:lang w:val="hr-HR" w:eastAsia="hr-HR"/>
              </w:rPr>
              <w:t xml:space="preserve">3) </w:t>
            </w:r>
            <w:r w:rsidRPr="00960D6B">
              <w:rPr>
                <w:rFonts w:ascii="Tele-GroteskEEHal" w:hAnsi="Tele-GroteskEEHal"/>
                <w:bCs/>
                <w:sz w:val="20"/>
                <w:szCs w:val="20"/>
                <w:lang w:val="hr-HR"/>
              </w:rPr>
              <w:t xml:space="preserve">U rujnu 2011. promijenjena je definicija prepaid korisnika i usklađena je s definicijom HAKOM-a. Prema novoj definiciji, samo se SIM kartice koje ostvaruju promet ili su nadoplaćene bonom u zadnjih 90 dana trebaju smatrati korisnicima. Shodno tomu, ponovno je iskazan broj korisnika u 2010. i svi povezani KPU-i. </w:t>
            </w:r>
          </w:p>
        </w:tc>
      </w:tr>
    </w:tbl>
    <w:p w:rsidR="003E4626" w:rsidRDefault="003E4626" w:rsidP="005E79B1">
      <w:pPr>
        <w:jc w:val="both"/>
        <w:rPr>
          <w:rFonts w:ascii="Tele-GroteskEEHal" w:hAnsi="Tele-GroteskEEHal" w:cs="Tahoma"/>
          <w:sz w:val="22"/>
          <w:szCs w:val="22"/>
          <w:lang w:val="hr-HR"/>
        </w:rPr>
      </w:pPr>
    </w:p>
    <w:p w:rsidR="003E4626" w:rsidRPr="00960D6B" w:rsidRDefault="003E4626" w:rsidP="0004040C">
      <w:pPr>
        <w:jc w:val="both"/>
        <w:rPr>
          <w:rFonts w:ascii="Tele-GroteskEEHal" w:hAnsi="Tele-GroteskEEHal"/>
          <w:color w:val="000000"/>
          <w:sz w:val="22"/>
          <w:lang w:val="hr-HR"/>
        </w:rPr>
      </w:pPr>
      <w:r w:rsidRPr="00960D6B">
        <w:rPr>
          <w:rFonts w:ascii="Tele-GroteskEEHal" w:hAnsi="Tele-GroteskEEHal"/>
          <w:color w:val="000000"/>
          <w:sz w:val="22"/>
          <w:lang w:val="hr-HR"/>
        </w:rPr>
        <w:t xml:space="preserve">U prvih šest tjedana 2011. T-HT je pokrenuo stalne akcije za stjecanje i zadržavanje korisnika pokretnih komunikacija za nove i postojeće korisnike koji potpišu ugovor na 24 mjeseca. Grupa je također uvela postpaid tarife s fokusom na podatkovne usluge i ciljnu skupinu mladih te nove obiteljske i širokopojasne tarife za pokretne komunikacije. </w:t>
      </w:r>
    </w:p>
    <w:p w:rsidR="003E4626" w:rsidRPr="00960D6B" w:rsidRDefault="003E4626" w:rsidP="006E0CD8">
      <w:pPr>
        <w:jc w:val="both"/>
        <w:rPr>
          <w:rFonts w:ascii="Tele-GroteskEEHal" w:hAnsi="Tele-GroteskEEHal"/>
          <w:sz w:val="22"/>
          <w:lang w:val="hr-HR"/>
        </w:rPr>
      </w:pPr>
    </w:p>
    <w:p w:rsidR="003E4626" w:rsidRPr="00960D6B" w:rsidRDefault="003E4626" w:rsidP="006E0CD8">
      <w:pPr>
        <w:jc w:val="both"/>
        <w:rPr>
          <w:rFonts w:ascii="Tele-GroteskEEHal" w:hAnsi="Tele-GroteskEEHal"/>
          <w:color w:val="000000"/>
          <w:sz w:val="22"/>
          <w:lang w:val="hr-HR"/>
        </w:rPr>
      </w:pPr>
      <w:r w:rsidRPr="00960D6B">
        <w:rPr>
          <w:rFonts w:ascii="Tele-GroteskEEHal" w:hAnsi="Tele-GroteskEEHal"/>
          <w:color w:val="000000"/>
          <w:sz w:val="22"/>
          <w:lang w:val="hr-HR"/>
        </w:rPr>
        <w:t xml:space="preserve">Nakon prve uspješne godine bonbon ima više od 100.000 korisnika, a 85% njih mlađe je od 35 godine, što ga čini atraktivnim brandom za </w:t>
      </w:r>
      <w:r>
        <w:rPr>
          <w:rFonts w:ascii="Tele-GroteskEEHal" w:hAnsi="Tele-GroteskEEHal"/>
          <w:color w:val="000000"/>
          <w:sz w:val="22"/>
          <w:lang w:val="hr-HR"/>
        </w:rPr>
        <w:t>zaposlene</w:t>
      </w:r>
      <w:r w:rsidRPr="00960D6B">
        <w:rPr>
          <w:rFonts w:ascii="Tele-GroteskEEHal" w:hAnsi="Tele-GroteskEEHal"/>
          <w:color w:val="000000"/>
          <w:sz w:val="22"/>
          <w:lang w:val="hr-HR"/>
        </w:rPr>
        <w:t xml:space="preserve"> mlade.</w:t>
      </w:r>
    </w:p>
    <w:p w:rsidR="003E4626" w:rsidRPr="00960D6B" w:rsidRDefault="003E4626" w:rsidP="00A94AC3">
      <w:pPr>
        <w:jc w:val="both"/>
        <w:rPr>
          <w:rFonts w:ascii="Tele-GroteskEEHal" w:hAnsi="Tele-GroteskEEHal"/>
          <w:color w:val="000000"/>
          <w:sz w:val="22"/>
          <w:lang w:val="hr-HR"/>
        </w:rPr>
      </w:pPr>
    </w:p>
    <w:p w:rsidR="003E4626" w:rsidRPr="00960D6B" w:rsidRDefault="003E4626" w:rsidP="00223872">
      <w:pPr>
        <w:jc w:val="both"/>
        <w:rPr>
          <w:rFonts w:ascii="Tele-GroteskEEHal" w:hAnsi="Tele-GroteskEEHal"/>
          <w:color w:val="000000"/>
          <w:sz w:val="22"/>
          <w:lang w:val="hr-HR"/>
        </w:rPr>
      </w:pPr>
      <w:r w:rsidRPr="00960D6B">
        <w:rPr>
          <w:rFonts w:ascii="Tele-GroteskEEHal" w:hAnsi="Tele-GroteskEEHal"/>
          <w:color w:val="000000"/>
          <w:sz w:val="22"/>
          <w:lang w:val="hr-HR"/>
        </w:rPr>
        <w:t>Broj minuta korištenja po prosječnom pretplatniku pokretnih komunikacija u devet mjeseci do 30. rujna 2011. povećao se za 3,4% u odnosu na isto razdoblje prošle godine.</w:t>
      </w:r>
    </w:p>
    <w:p w:rsidR="003E4626" w:rsidRPr="00960D6B" w:rsidRDefault="003E4626" w:rsidP="00A94AC3">
      <w:pPr>
        <w:jc w:val="both"/>
        <w:rPr>
          <w:rFonts w:ascii="Tele-GroteskEEHal" w:hAnsi="Tele-GroteskEEHal"/>
          <w:color w:val="000000"/>
          <w:sz w:val="22"/>
          <w:lang w:val="hr-HR"/>
        </w:rPr>
      </w:pPr>
    </w:p>
    <w:p w:rsidR="003E4626" w:rsidRPr="00960D6B" w:rsidRDefault="003E4626" w:rsidP="00223872">
      <w:pPr>
        <w:jc w:val="both"/>
        <w:rPr>
          <w:rFonts w:ascii="Tele-GroteskEEHal" w:hAnsi="Tele-GroteskEEHal"/>
          <w:color w:val="000000"/>
          <w:sz w:val="22"/>
          <w:lang w:val="hr-HR"/>
        </w:rPr>
      </w:pPr>
      <w:r w:rsidRPr="00960D6B">
        <w:rPr>
          <w:rFonts w:ascii="Tele-GroteskEEHal" w:hAnsi="Tele-GroteskEEHal"/>
          <w:color w:val="000000"/>
          <w:sz w:val="22"/>
          <w:lang w:val="hr-HR"/>
        </w:rPr>
        <w:t>Kombinirani ARPU smanjio se za 13,5% u izvještajnom razdoblju u odnosu na devet mjeseci do 30. rujna 2010., kao rezultat gospodarske situacije i intenzivnih konkurentskih pritisaka.</w:t>
      </w:r>
    </w:p>
    <w:p w:rsidR="003E4626" w:rsidRPr="00960D6B" w:rsidRDefault="003E4626" w:rsidP="008D4F24">
      <w:pPr>
        <w:jc w:val="both"/>
        <w:rPr>
          <w:rFonts w:ascii="Tele-GroteskEEHal" w:hAnsi="Tele-GroteskEEHal"/>
          <w:color w:val="000000"/>
          <w:sz w:val="22"/>
          <w:lang w:val="hr-HR"/>
        </w:rPr>
      </w:pPr>
    </w:p>
    <w:p w:rsidR="003E4626" w:rsidRPr="00960D6B" w:rsidRDefault="003E4626" w:rsidP="008D4F24">
      <w:pPr>
        <w:jc w:val="both"/>
        <w:rPr>
          <w:rFonts w:ascii="Tele-GroteskEEHal" w:hAnsi="Tele-GroteskEEHal"/>
          <w:color w:val="000000"/>
          <w:sz w:val="22"/>
          <w:lang w:val="hr-HR"/>
        </w:rPr>
      </w:pPr>
      <w:r w:rsidRPr="00960D6B">
        <w:rPr>
          <w:rFonts w:ascii="Tele-GroteskEEHal" w:hAnsi="Tele-GroteskEEHal"/>
          <w:color w:val="000000"/>
          <w:sz w:val="22"/>
          <w:lang w:val="hr-HR"/>
        </w:rPr>
        <w:t>Grupa je također uvela pakete proizvoda za nepokretne i pokretne komunikacije kako bi potaknula stjecanje korisnika ADSL-a.</w:t>
      </w:r>
    </w:p>
    <w:p w:rsidR="003E4626" w:rsidRPr="00960D6B" w:rsidRDefault="003E4626" w:rsidP="008D4F24">
      <w:pPr>
        <w:jc w:val="both"/>
        <w:rPr>
          <w:rFonts w:ascii="Tele-GroteskEEHal" w:hAnsi="Tele-GroteskEEHal"/>
          <w:color w:val="000000"/>
          <w:sz w:val="22"/>
          <w:lang w:val="hr-HR"/>
        </w:rPr>
      </w:pPr>
    </w:p>
    <w:p w:rsidR="003E4626" w:rsidRPr="004B2998" w:rsidRDefault="003E4626" w:rsidP="00223872">
      <w:pPr>
        <w:jc w:val="both"/>
        <w:rPr>
          <w:rFonts w:ascii="Tele-GroteskEEHal" w:hAnsi="Tele-GroteskEEHal"/>
          <w:color w:val="000000"/>
          <w:sz w:val="22"/>
          <w:szCs w:val="22"/>
          <w:lang w:val="hr-HR"/>
        </w:rPr>
      </w:pPr>
      <w:r w:rsidRPr="00960D6B">
        <w:rPr>
          <w:rFonts w:ascii="Tele-GroteskEEHal" w:hAnsi="Tele-GroteskEEHal"/>
          <w:color w:val="000000"/>
          <w:sz w:val="22"/>
          <w:lang w:val="hr-HR"/>
        </w:rPr>
        <w:t xml:space="preserve">T-HT-ove usluge IPTV i satelitska televizija izravno do doma (DTH) dodatno su potaknute ponudama koje su uključivale nove i ekskluzivne sportske sadržaje, uslugu </w:t>
      </w:r>
      <w:r w:rsidRPr="00960D6B">
        <w:rPr>
          <w:rFonts w:ascii="Tele-GroteskEEHal" w:hAnsi="Tele-GroteskEEHal"/>
          <w:i/>
          <w:color w:val="000000"/>
          <w:sz w:val="22"/>
          <w:lang w:val="hr-HR"/>
        </w:rPr>
        <w:t>pay per view</w:t>
      </w:r>
      <w:r w:rsidRPr="00960D6B">
        <w:rPr>
          <w:rFonts w:ascii="Tele-GroteskEEHal" w:hAnsi="Tele-GroteskEEHal"/>
          <w:color w:val="000000"/>
          <w:sz w:val="22"/>
          <w:lang w:val="hr-HR"/>
        </w:rPr>
        <w:t xml:space="preserve"> i isprobaj i kupi (</w:t>
      </w:r>
      <w:r w:rsidRPr="00960D6B">
        <w:rPr>
          <w:rFonts w:ascii="Tele-GroteskEEHal" w:hAnsi="Tele-GroteskEEHal"/>
          <w:i/>
          <w:color w:val="000000"/>
          <w:sz w:val="22"/>
          <w:lang w:val="hr-HR"/>
        </w:rPr>
        <w:t xml:space="preserve">try and </w:t>
      </w:r>
      <w:r w:rsidRPr="004B2998">
        <w:rPr>
          <w:rFonts w:ascii="Tele-GroteskEEHal" w:hAnsi="Tele-GroteskEEHal"/>
          <w:i/>
          <w:color w:val="000000"/>
          <w:sz w:val="22"/>
          <w:szCs w:val="22"/>
          <w:lang w:val="hr-HR"/>
        </w:rPr>
        <w:t>buy</w:t>
      </w:r>
      <w:r w:rsidRPr="004B2998">
        <w:rPr>
          <w:rFonts w:ascii="Tele-GroteskEEHal" w:hAnsi="Tele-GroteskEEHal"/>
          <w:color w:val="000000"/>
          <w:sz w:val="22"/>
          <w:szCs w:val="22"/>
          <w:lang w:val="hr-HR"/>
        </w:rPr>
        <w:t>). Pretplata na satelitsku televiziju potaknuta je repozicioniranjem usluge u prvom tromjesečju 2011. Satelitska televizija postaje sve važniji element televizijske ponude Grupe.</w:t>
      </w:r>
    </w:p>
    <w:p w:rsidR="003E4626" w:rsidRPr="004B2998" w:rsidRDefault="003E4626" w:rsidP="00223872">
      <w:pPr>
        <w:jc w:val="both"/>
        <w:rPr>
          <w:rFonts w:ascii="Tele-GroteskEEHal" w:hAnsi="Tele-GroteskEEHal"/>
          <w:color w:val="000000"/>
          <w:sz w:val="22"/>
          <w:szCs w:val="22"/>
          <w:lang w:val="hr-HR"/>
        </w:rPr>
      </w:pPr>
    </w:p>
    <w:p w:rsidR="003E4626" w:rsidRPr="004B2998" w:rsidRDefault="003E4626" w:rsidP="00EF19C7">
      <w:pPr>
        <w:suppressAutoHyphens w:val="0"/>
        <w:rPr>
          <w:rFonts w:ascii="Tele-GroteskEEHal" w:hAnsi="Tele-GroteskEEHal"/>
          <w:kern w:val="0"/>
          <w:sz w:val="22"/>
          <w:szCs w:val="22"/>
          <w:lang w:val="hr-HR" w:eastAsia="hr-HR"/>
        </w:rPr>
      </w:pPr>
      <w:r w:rsidRPr="004B2998">
        <w:rPr>
          <w:rFonts w:ascii="Tele-GroteskEEHal" w:hAnsi="Tele-GroteskEEHal"/>
          <w:kern w:val="0"/>
          <w:sz w:val="22"/>
          <w:szCs w:val="22"/>
          <w:lang w:val="hr-HR" w:eastAsia="hr-HR"/>
        </w:rPr>
        <w:t>U drugom tromjesečju odlučeno je da se izdvoji ADSL usluga za priključene korisnike DTH koji nisu koristili ADSL uslugu povezanu s DTH-om, što je rezultiralo padom broja ADSL priključaka u trećem tromjesečju.</w:t>
      </w:r>
    </w:p>
    <w:p w:rsidR="003E4626" w:rsidRPr="004B2998" w:rsidRDefault="003E4626" w:rsidP="00223872">
      <w:pPr>
        <w:jc w:val="both"/>
        <w:rPr>
          <w:rFonts w:ascii="Tele-GroteskEEHal" w:hAnsi="Tele-GroteskEEHal"/>
          <w:sz w:val="22"/>
          <w:szCs w:val="22"/>
          <w:u w:val="single"/>
          <w:lang w:val="hr-HR"/>
        </w:rPr>
      </w:pPr>
    </w:p>
    <w:p w:rsidR="003E4626" w:rsidRPr="00960D6B" w:rsidRDefault="003E4626" w:rsidP="00223872">
      <w:pPr>
        <w:jc w:val="both"/>
        <w:rPr>
          <w:rFonts w:ascii="Tele-GroteskEEHal" w:hAnsi="Tele-GroteskEEHal"/>
          <w:color w:val="000000"/>
          <w:sz w:val="22"/>
          <w:lang w:val="hr-HR"/>
        </w:rPr>
      </w:pPr>
      <w:r w:rsidRPr="004B2998">
        <w:rPr>
          <w:rFonts w:ascii="Tele-GroteskEEHal" w:hAnsi="Tele-GroteskEEHal"/>
          <w:color w:val="000000"/>
          <w:sz w:val="22"/>
          <w:szCs w:val="22"/>
          <w:lang w:val="hr-HR"/>
        </w:rPr>
        <w:t>Na kraju rujna 2011. ukupan broj priključaka u nepokretnoj mreži smanjio se za 8,3% na 1.123 milijuna u odnosu na prošlu godinu. Ovaj je pad u skladu sa širim trendom zamjene nepokretne telefonije</w:t>
      </w:r>
      <w:r w:rsidRPr="00960D6B">
        <w:rPr>
          <w:rFonts w:ascii="Tele-GroteskEEHal" w:hAnsi="Tele-GroteskEEHal"/>
          <w:color w:val="000000"/>
          <w:sz w:val="22"/>
          <w:lang w:val="hr-HR"/>
        </w:rPr>
        <w:t xml:space="preserve"> pokretnom i IP-om na telekomunikacijskom tržištu. Istovremeno, Grupa je i dalje osiguravala konkurentnost svojih proizvoda atraktivnim promotivnim ponudama i izvrsnošću u pružanju usluga.</w:t>
      </w:r>
    </w:p>
    <w:p w:rsidR="003E4626" w:rsidRPr="00960D6B" w:rsidRDefault="003E4626" w:rsidP="006E0CD8">
      <w:pPr>
        <w:jc w:val="both"/>
        <w:rPr>
          <w:rFonts w:ascii="Tele-GroteskEEHal" w:hAnsi="Tele-GroteskEEHal"/>
          <w:color w:val="000000"/>
          <w:sz w:val="22"/>
          <w:lang w:val="hr-HR"/>
        </w:rPr>
      </w:pPr>
    </w:p>
    <w:p w:rsidR="003E4626" w:rsidRPr="00960D6B" w:rsidRDefault="003E4626" w:rsidP="00223872">
      <w:pPr>
        <w:jc w:val="both"/>
        <w:rPr>
          <w:rFonts w:ascii="Tele-GroteskEEHal" w:hAnsi="Tele-GroteskEEHal"/>
          <w:color w:val="000000"/>
          <w:sz w:val="22"/>
          <w:lang w:val="hr-HR"/>
        </w:rPr>
      </w:pPr>
      <w:r w:rsidRPr="00960D6B">
        <w:rPr>
          <w:rFonts w:ascii="Tele-GroteskEEHal" w:hAnsi="Tele-GroteskEEHal"/>
          <w:color w:val="000000"/>
          <w:sz w:val="22"/>
          <w:lang w:val="hr-HR"/>
        </w:rPr>
        <w:t>Promet nepokretne telefonije smanjio se za 10,1% na 1.558 milijuna minuta u devet mjeseci do 30. rujna 2011. u odnosu na prošlu godinu. Ovaj tržišni trend ukazuje na zamjenu prometa nepokretne telefonije prometom u pokretnoj mreži i IP prometom.</w:t>
      </w:r>
    </w:p>
    <w:p w:rsidR="003E4626" w:rsidRPr="00960D6B" w:rsidRDefault="003E4626" w:rsidP="00223872">
      <w:pPr>
        <w:jc w:val="both"/>
        <w:rPr>
          <w:rFonts w:ascii="Tele-GroteskEEHal" w:hAnsi="Tele-GroteskEEHal"/>
          <w:color w:val="000000"/>
          <w:sz w:val="22"/>
          <w:lang w:val="hr-HR"/>
        </w:rPr>
      </w:pPr>
    </w:p>
    <w:p w:rsidR="003E4626" w:rsidRPr="00960D6B" w:rsidRDefault="003E4626" w:rsidP="00223872">
      <w:pPr>
        <w:jc w:val="both"/>
        <w:rPr>
          <w:rFonts w:ascii="Tele-GroteskEEHal" w:hAnsi="Tele-GroteskEEHal"/>
          <w:color w:val="000000"/>
          <w:sz w:val="22"/>
          <w:lang w:val="hr-HR"/>
        </w:rPr>
      </w:pPr>
      <w:r w:rsidRPr="00960D6B">
        <w:rPr>
          <w:rFonts w:ascii="Tele-GroteskEEHal" w:hAnsi="Tele-GroteskEEHal"/>
          <w:color w:val="000000"/>
          <w:sz w:val="22"/>
          <w:lang w:val="hr-HR"/>
        </w:rPr>
        <w:t>Prosječni prihod po pristupu (ARPA) za govorne usluge u nepokretnoj mreži smanjio se za 7,4% u odnosu na isto razdoblje prošle godine kao rezultat gore navedenih općih tržišnih trendova.</w:t>
      </w:r>
    </w:p>
    <w:p w:rsidR="003E4626" w:rsidRPr="00960D6B" w:rsidRDefault="003E4626" w:rsidP="00223872">
      <w:pPr>
        <w:jc w:val="both"/>
        <w:rPr>
          <w:rFonts w:ascii="Tele-GroteskEEHal" w:hAnsi="Tele-GroteskEEHal"/>
          <w:color w:val="000000"/>
          <w:sz w:val="22"/>
          <w:lang w:val="hr-HR"/>
        </w:rPr>
      </w:pPr>
    </w:p>
    <w:p w:rsidR="003E4626" w:rsidRPr="00960D6B" w:rsidRDefault="003E4626" w:rsidP="00223872">
      <w:pPr>
        <w:jc w:val="both"/>
        <w:rPr>
          <w:rFonts w:ascii="Tele-GroteskEEHal" w:hAnsi="Tele-GroteskEEHal"/>
          <w:color w:val="000000"/>
          <w:sz w:val="22"/>
          <w:lang w:val="hr-HR"/>
        </w:rPr>
      </w:pPr>
      <w:r w:rsidRPr="00960D6B">
        <w:rPr>
          <w:rFonts w:ascii="Tele-GroteskEEHal" w:hAnsi="Tele-GroteskEEHal"/>
          <w:color w:val="000000"/>
          <w:sz w:val="22"/>
          <w:lang w:val="hr-HR"/>
        </w:rPr>
        <w:t>Na kraju rujna 2011. broj ADSL priključaka povećao se za 8,3% na 538.</w:t>
      </w:r>
      <w:r>
        <w:rPr>
          <w:rFonts w:ascii="Tele-GroteskEEHal" w:hAnsi="Tele-GroteskEEHal"/>
          <w:color w:val="000000"/>
          <w:sz w:val="22"/>
          <w:lang w:val="hr-HR"/>
        </w:rPr>
        <w:t>443</w:t>
      </w:r>
      <w:r w:rsidRPr="00960D6B">
        <w:rPr>
          <w:rFonts w:ascii="Tele-GroteskEEHal" w:hAnsi="Tele-GroteskEEHal"/>
          <w:color w:val="000000"/>
          <w:sz w:val="22"/>
          <w:lang w:val="hr-HR"/>
        </w:rPr>
        <w:t xml:space="preserve"> u odnosu na isto razdoblje u 2010. ARPA za ADSL priključke smanjio se za 5,9%.</w:t>
      </w:r>
    </w:p>
    <w:p w:rsidR="003E4626" w:rsidRPr="00960D6B" w:rsidRDefault="003E4626" w:rsidP="00223872">
      <w:pPr>
        <w:jc w:val="both"/>
        <w:rPr>
          <w:rFonts w:ascii="Tele-GroteskEEHal" w:hAnsi="Tele-GroteskEEHal"/>
          <w:color w:val="000000"/>
          <w:sz w:val="22"/>
          <w:lang w:val="hr-HR"/>
        </w:rPr>
      </w:pPr>
    </w:p>
    <w:p w:rsidR="003E4626" w:rsidRPr="00960D6B" w:rsidRDefault="003E4626" w:rsidP="00223872">
      <w:pPr>
        <w:jc w:val="both"/>
        <w:rPr>
          <w:rFonts w:ascii="Tele-GroteskEEHal" w:hAnsi="Tele-GroteskEEHal"/>
          <w:color w:val="000000"/>
          <w:sz w:val="22"/>
          <w:lang w:val="hr-HR"/>
        </w:rPr>
      </w:pPr>
      <w:r w:rsidRPr="00960D6B">
        <w:rPr>
          <w:rFonts w:ascii="Tele-GroteskEEHal" w:hAnsi="Tele-GroteskEEHal"/>
          <w:color w:val="000000"/>
          <w:sz w:val="22"/>
          <w:lang w:val="hr-HR"/>
        </w:rPr>
        <w:t xml:space="preserve">Baza TV pretplatnika Grupe i dalje raste. Na kraju </w:t>
      </w:r>
      <w:r>
        <w:rPr>
          <w:rFonts w:ascii="Tele-GroteskEEHal" w:hAnsi="Tele-GroteskEEHal"/>
          <w:color w:val="000000"/>
          <w:sz w:val="22"/>
          <w:lang w:val="hr-HR"/>
        </w:rPr>
        <w:t xml:space="preserve">rujna </w:t>
      </w:r>
      <w:r w:rsidRPr="00960D6B">
        <w:rPr>
          <w:rFonts w:ascii="Tele-GroteskEEHal" w:hAnsi="Tele-GroteskEEHal"/>
          <w:color w:val="000000"/>
          <w:sz w:val="22"/>
          <w:lang w:val="hr-HR"/>
        </w:rPr>
        <w:t>broj pretplatnika bio je za 21,7% veći u odnosu na prošlu godinu i iznosio je 31</w:t>
      </w:r>
      <w:r>
        <w:rPr>
          <w:rFonts w:ascii="Tele-GroteskEEHal" w:hAnsi="Tele-GroteskEEHal"/>
          <w:color w:val="000000"/>
          <w:sz w:val="22"/>
          <w:lang w:val="hr-HR"/>
        </w:rPr>
        <w:t>7.847</w:t>
      </w:r>
      <w:r w:rsidRPr="00960D6B">
        <w:rPr>
          <w:rFonts w:ascii="Tele-GroteskEEHal" w:hAnsi="Tele-GroteskEEHal"/>
          <w:color w:val="000000"/>
          <w:sz w:val="22"/>
          <w:lang w:val="hr-HR"/>
        </w:rPr>
        <w:t>. Broj pretplata za satelitsku televiziju, koja predstavlja proširenje IPTV usluge Grupe, nastavlja rasti.</w:t>
      </w:r>
    </w:p>
    <w:p w:rsidR="003E4626" w:rsidRPr="00960D6B" w:rsidRDefault="003E4626" w:rsidP="0009574D">
      <w:pPr>
        <w:jc w:val="both"/>
        <w:rPr>
          <w:rFonts w:ascii="Tele-GroteskEEHal" w:hAnsi="Tele-GroteskEEHal" w:cs="Tahoma"/>
          <w:b/>
          <w:sz w:val="22"/>
          <w:szCs w:val="22"/>
          <w:lang w:val="hr-HR"/>
        </w:rPr>
      </w:pPr>
    </w:p>
    <w:p w:rsidR="003E4626" w:rsidRDefault="003E4626" w:rsidP="0009574D">
      <w:pPr>
        <w:jc w:val="both"/>
        <w:rPr>
          <w:rFonts w:ascii="Tele-GroteskEEHal" w:hAnsi="Tele-GroteskEEHal" w:cs="Tahoma"/>
          <w:b/>
          <w:sz w:val="22"/>
          <w:szCs w:val="22"/>
          <w:lang w:val="hr-HR"/>
        </w:rPr>
      </w:pPr>
    </w:p>
    <w:p w:rsidR="003E4626" w:rsidRDefault="003E4626" w:rsidP="0009574D">
      <w:pPr>
        <w:jc w:val="both"/>
        <w:rPr>
          <w:rFonts w:ascii="Tele-GroteskEEHal" w:hAnsi="Tele-GroteskEEHal" w:cs="Tahoma"/>
          <w:b/>
          <w:sz w:val="22"/>
          <w:szCs w:val="22"/>
          <w:lang w:val="hr-HR"/>
        </w:rPr>
      </w:pPr>
      <w:r w:rsidRPr="00960D6B">
        <w:rPr>
          <w:rFonts w:ascii="Tele-GroteskEEHal" w:hAnsi="Tele-GroteskEEHal" w:cs="Tahoma"/>
          <w:b/>
          <w:sz w:val="22"/>
          <w:szCs w:val="22"/>
          <w:lang w:val="hr-HR"/>
        </w:rPr>
        <w:t>Financijski rezultati Segmenta privatnih korisnika</w:t>
      </w:r>
    </w:p>
    <w:p w:rsidR="003E4626" w:rsidRDefault="003E4626" w:rsidP="0009574D">
      <w:pPr>
        <w:jc w:val="both"/>
        <w:rPr>
          <w:rFonts w:ascii="Tele-GroteskEEHal" w:hAnsi="Tele-GroteskEEHal" w:cs="Tahoma"/>
          <w:b/>
          <w:sz w:val="22"/>
          <w:szCs w:val="22"/>
          <w:lang w:val="hr-HR"/>
        </w:rPr>
      </w:pPr>
    </w:p>
    <w:tbl>
      <w:tblPr>
        <w:tblW w:w="8200" w:type="dxa"/>
        <w:tblInd w:w="108" w:type="dxa"/>
        <w:tblLook w:val="0000"/>
      </w:tblPr>
      <w:tblGrid>
        <w:gridCol w:w="3897"/>
        <w:gridCol w:w="1354"/>
        <w:gridCol w:w="1354"/>
        <w:gridCol w:w="1595"/>
      </w:tblGrid>
      <w:tr w:rsidR="003E4626" w:rsidRPr="0047726D" w:rsidTr="0047726D">
        <w:trPr>
          <w:trHeight w:val="799"/>
        </w:trPr>
        <w:tc>
          <w:tcPr>
            <w:tcW w:w="3897" w:type="dxa"/>
            <w:tcBorders>
              <w:top w:val="single" w:sz="4" w:space="0" w:color="auto"/>
              <w:left w:val="nil"/>
              <w:bottom w:val="single" w:sz="4" w:space="0" w:color="auto"/>
              <w:right w:val="nil"/>
            </w:tcBorders>
            <w:shd w:val="clear" w:color="auto" w:fill="E20074"/>
            <w:noWrap/>
            <w:vAlign w:val="center"/>
          </w:tcPr>
          <w:p w:rsidR="003E4626" w:rsidRPr="0047726D" w:rsidRDefault="003E4626" w:rsidP="0047726D">
            <w:pPr>
              <w:suppressAutoHyphens w:val="0"/>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u milijunima kuna</w:t>
            </w:r>
          </w:p>
        </w:tc>
        <w:tc>
          <w:tcPr>
            <w:tcW w:w="1354" w:type="dxa"/>
            <w:tcBorders>
              <w:top w:val="single" w:sz="4" w:space="0" w:color="auto"/>
              <w:left w:val="nil"/>
              <w:bottom w:val="single" w:sz="4" w:space="0" w:color="auto"/>
              <w:right w:val="nil"/>
            </w:tcBorders>
            <w:shd w:val="clear" w:color="auto" w:fill="E20074"/>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 xml:space="preserve">Sij.-Ruj. </w:t>
            </w:r>
            <w:r w:rsidRPr="0047726D">
              <w:rPr>
                <w:rFonts w:ascii="Tele-GroteskEEHal" w:hAnsi="Tele-GroteskEEHal"/>
                <w:b/>
                <w:bCs/>
                <w:color w:val="FFFFFF"/>
                <w:kern w:val="0"/>
                <w:sz w:val="22"/>
                <w:szCs w:val="22"/>
                <w:lang w:val="hr-HR" w:eastAsia="hr-HR"/>
              </w:rPr>
              <w:br/>
              <w:t>2011.</w:t>
            </w:r>
          </w:p>
        </w:tc>
        <w:tc>
          <w:tcPr>
            <w:tcW w:w="1354" w:type="dxa"/>
            <w:tcBorders>
              <w:top w:val="single" w:sz="4" w:space="0" w:color="auto"/>
              <w:left w:val="nil"/>
              <w:bottom w:val="single" w:sz="4" w:space="0" w:color="auto"/>
              <w:right w:val="nil"/>
            </w:tcBorders>
            <w:shd w:val="clear" w:color="auto" w:fill="E20074"/>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 xml:space="preserve">Sij.-Ruj. </w:t>
            </w:r>
            <w:r w:rsidRPr="0047726D">
              <w:rPr>
                <w:rFonts w:ascii="Tele-GroteskEEHal" w:hAnsi="Tele-GroteskEEHal"/>
                <w:b/>
                <w:bCs/>
                <w:color w:val="FFFFFF"/>
                <w:kern w:val="0"/>
                <w:sz w:val="22"/>
                <w:szCs w:val="22"/>
                <w:lang w:val="hr-HR" w:eastAsia="hr-HR"/>
              </w:rPr>
              <w:br/>
              <w:t>2010.</w:t>
            </w:r>
          </w:p>
        </w:tc>
        <w:tc>
          <w:tcPr>
            <w:tcW w:w="1595" w:type="dxa"/>
            <w:tcBorders>
              <w:top w:val="single" w:sz="4" w:space="0" w:color="auto"/>
              <w:left w:val="nil"/>
              <w:bottom w:val="single" w:sz="4" w:space="0" w:color="auto"/>
              <w:right w:val="nil"/>
            </w:tcBorders>
            <w:shd w:val="clear" w:color="auto" w:fill="E20074"/>
            <w:vAlign w:val="center"/>
          </w:tcPr>
          <w:p w:rsidR="003E4626" w:rsidRPr="0047726D" w:rsidRDefault="003E4626" w:rsidP="0047726D">
            <w:pPr>
              <w:suppressAutoHyphens w:val="0"/>
              <w:jc w:val="right"/>
              <w:rPr>
                <w:rFonts w:ascii="Tele-GroteskEEHal" w:hAnsi="Tele-GroteskEEHal"/>
                <w:b/>
                <w:bCs/>
                <w:i/>
                <w:iCs/>
                <w:color w:val="FFFFFF"/>
                <w:kern w:val="0"/>
                <w:lang w:val="hr-HR" w:eastAsia="hr-HR"/>
              </w:rPr>
            </w:pPr>
            <w:r w:rsidRPr="0047726D">
              <w:rPr>
                <w:rFonts w:ascii="Tele-GroteskEEHal" w:hAnsi="Tele-GroteskEEHal"/>
                <w:b/>
                <w:bCs/>
                <w:i/>
                <w:iCs/>
                <w:color w:val="FFFFFF"/>
                <w:kern w:val="0"/>
                <w:sz w:val="22"/>
                <w:szCs w:val="22"/>
                <w:lang w:val="hr-HR" w:eastAsia="hr-HR"/>
              </w:rPr>
              <w:t xml:space="preserve">% promjene </w:t>
            </w:r>
            <w:r w:rsidRPr="0047726D">
              <w:rPr>
                <w:rFonts w:ascii="Tele-GroteskEEHal" w:hAnsi="Tele-GroteskEEHal"/>
                <w:b/>
                <w:bCs/>
                <w:i/>
                <w:iCs/>
                <w:color w:val="FFFFFF"/>
                <w:kern w:val="0"/>
                <w:sz w:val="22"/>
                <w:szCs w:val="22"/>
                <w:lang w:val="hr-HR" w:eastAsia="hr-HR"/>
              </w:rPr>
              <w:br/>
              <w:t>11/10</w:t>
            </w:r>
          </w:p>
        </w:tc>
      </w:tr>
      <w:tr w:rsidR="003E4626" w:rsidRPr="0047726D" w:rsidTr="0047726D">
        <w:trPr>
          <w:trHeight w:val="342"/>
        </w:trPr>
        <w:tc>
          <w:tcPr>
            <w:tcW w:w="3897"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kern w:val="0"/>
                <w:lang w:val="hr-HR" w:eastAsia="hr-HR"/>
              </w:rPr>
            </w:pPr>
            <w:r w:rsidRPr="0047726D">
              <w:rPr>
                <w:rFonts w:ascii="Tele-GroteskEEHal" w:hAnsi="Tele-GroteskEEHal"/>
                <w:kern w:val="0"/>
                <w:sz w:val="22"/>
                <w:szCs w:val="22"/>
                <w:lang w:val="hr-HR" w:eastAsia="hr-HR"/>
              </w:rPr>
              <w:t>Prihodi od govornih usluga</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1.969</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2.256</w:t>
            </w:r>
          </w:p>
        </w:tc>
        <w:tc>
          <w:tcPr>
            <w:tcW w:w="1595"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i/>
                <w:iCs/>
                <w:kern w:val="0"/>
                <w:lang w:val="hr-HR" w:eastAsia="hr-HR"/>
              </w:rPr>
            </w:pPr>
            <w:r w:rsidRPr="0047726D">
              <w:rPr>
                <w:rFonts w:ascii="Tele-GroteskEEHal" w:hAnsi="Tele-GroteskEEHal"/>
                <w:i/>
                <w:iCs/>
                <w:kern w:val="0"/>
                <w:sz w:val="22"/>
                <w:szCs w:val="22"/>
                <w:lang w:val="hr-HR" w:eastAsia="hr-HR"/>
              </w:rPr>
              <w:t>-12,7%</w:t>
            </w:r>
          </w:p>
        </w:tc>
      </w:tr>
      <w:tr w:rsidR="003E4626" w:rsidRPr="0047726D" w:rsidTr="0047726D">
        <w:trPr>
          <w:trHeight w:val="342"/>
        </w:trPr>
        <w:tc>
          <w:tcPr>
            <w:tcW w:w="3897"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kern w:val="0"/>
                <w:lang w:val="hr-HR" w:eastAsia="hr-HR"/>
              </w:rPr>
            </w:pPr>
            <w:r w:rsidRPr="0047726D">
              <w:rPr>
                <w:rFonts w:ascii="Tele-GroteskEEHal" w:hAnsi="Tele-GroteskEEHal"/>
                <w:kern w:val="0"/>
                <w:sz w:val="22"/>
                <w:szCs w:val="22"/>
                <w:lang w:val="hr-HR" w:eastAsia="hr-HR"/>
              </w:rPr>
              <w:t>Prihodi od negovornih usluga</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1.117</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1.053</w:t>
            </w:r>
          </w:p>
        </w:tc>
        <w:tc>
          <w:tcPr>
            <w:tcW w:w="1595"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i/>
                <w:iCs/>
                <w:kern w:val="0"/>
                <w:lang w:val="hr-HR" w:eastAsia="hr-HR"/>
              </w:rPr>
            </w:pPr>
            <w:r w:rsidRPr="0047726D">
              <w:rPr>
                <w:rFonts w:ascii="Tele-GroteskEEHal" w:hAnsi="Tele-GroteskEEHal"/>
                <w:i/>
                <w:iCs/>
                <w:kern w:val="0"/>
                <w:sz w:val="22"/>
                <w:szCs w:val="22"/>
                <w:lang w:val="hr-HR" w:eastAsia="hr-HR"/>
              </w:rPr>
              <w:t>6,1%</w:t>
            </w:r>
          </w:p>
        </w:tc>
      </w:tr>
      <w:tr w:rsidR="003E4626" w:rsidRPr="0047726D" w:rsidTr="0047726D">
        <w:trPr>
          <w:trHeight w:val="342"/>
        </w:trPr>
        <w:tc>
          <w:tcPr>
            <w:tcW w:w="3897"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kern w:val="0"/>
                <w:lang w:val="hr-HR" w:eastAsia="hr-HR"/>
              </w:rPr>
            </w:pPr>
            <w:r w:rsidRPr="0047726D">
              <w:rPr>
                <w:rFonts w:ascii="Tele-GroteskEEHal" w:hAnsi="Tele-GroteskEEHal"/>
                <w:kern w:val="0"/>
                <w:sz w:val="22"/>
                <w:szCs w:val="22"/>
                <w:lang w:val="hr-HR" w:eastAsia="hr-HR"/>
              </w:rPr>
              <w:t>Ostali prihodi od usluga</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113</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45</w:t>
            </w:r>
          </w:p>
        </w:tc>
        <w:tc>
          <w:tcPr>
            <w:tcW w:w="1595"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i/>
                <w:iCs/>
                <w:kern w:val="0"/>
                <w:lang w:val="hr-HR" w:eastAsia="hr-HR"/>
              </w:rPr>
            </w:pPr>
            <w:r w:rsidRPr="0047726D">
              <w:rPr>
                <w:rFonts w:ascii="Tele-GroteskEEHal" w:hAnsi="Tele-GroteskEEHal"/>
                <w:i/>
                <w:iCs/>
                <w:kern w:val="0"/>
                <w:sz w:val="22"/>
                <w:szCs w:val="22"/>
                <w:lang w:val="hr-HR" w:eastAsia="hr-HR"/>
              </w:rPr>
              <w:t>152,9%</w:t>
            </w:r>
          </w:p>
        </w:tc>
      </w:tr>
      <w:tr w:rsidR="003E4626" w:rsidRPr="0047726D" w:rsidTr="0047726D">
        <w:trPr>
          <w:trHeight w:val="342"/>
        </w:trPr>
        <w:tc>
          <w:tcPr>
            <w:tcW w:w="3897"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kern w:val="0"/>
                <w:lang w:val="hr-HR" w:eastAsia="hr-HR"/>
              </w:rPr>
            </w:pPr>
            <w:r w:rsidRPr="0047726D">
              <w:rPr>
                <w:rFonts w:ascii="Tele-GroteskEEHal" w:hAnsi="Tele-GroteskEEHal"/>
                <w:kern w:val="0"/>
                <w:sz w:val="22"/>
                <w:szCs w:val="22"/>
                <w:lang w:val="hr-HR" w:eastAsia="hr-HR"/>
              </w:rPr>
              <w:t>Terminalna oprema</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115</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135</w:t>
            </w:r>
          </w:p>
        </w:tc>
        <w:tc>
          <w:tcPr>
            <w:tcW w:w="1595"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i/>
                <w:iCs/>
                <w:kern w:val="0"/>
                <w:lang w:val="hr-HR" w:eastAsia="hr-HR"/>
              </w:rPr>
            </w:pPr>
            <w:r w:rsidRPr="0047726D">
              <w:rPr>
                <w:rFonts w:ascii="Tele-GroteskEEHal" w:hAnsi="Tele-GroteskEEHal"/>
                <w:i/>
                <w:iCs/>
                <w:kern w:val="0"/>
                <w:sz w:val="22"/>
                <w:szCs w:val="22"/>
                <w:lang w:val="hr-HR" w:eastAsia="hr-HR"/>
              </w:rPr>
              <w:t>-15,1%</w:t>
            </w:r>
          </w:p>
        </w:tc>
      </w:tr>
      <w:tr w:rsidR="003E4626" w:rsidRPr="0047726D" w:rsidTr="0047726D">
        <w:trPr>
          <w:trHeight w:val="342"/>
        </w:trPr>
        <w:tc>
          <w:tcPr>
            <w:tcW w:w="3897"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kern w:val="0"/>
                <w:lang w:val="hr-HR" w:eastAsia="hr-HR"/>
              </w:rPr>
            </w:pPr>
            <w:r w:rsidRPr="0047726D">
              <w:rPr>
                <w:rFonts w:ascii="Tele-GroteskEEHal" w:hAnsi="Tele-GroteskEEHal"/>
                <w:kern w:val="0"/>
                <w:sz w:val="22"/>
                <w:szCs w:val="22"/>
                <w:lang w:val="hr-HR" w:eastAsia="hr-HR"/>
              </w:rPr>
              <w:t>Razno</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13</w:t>
            </w:r>
          </w:p>
        </w:tc>
        <w:tc>
          <w:tcPr>
            <w:tcW w:w="1354"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kern w:val="0"/>
                <w:lang w:val="hr-HR" w:eastAsia="hr-HR"/>
              </w:rPr>
            </w:pPr>
            <w:r w:rsidRPr="0047726D">
              <w:rPr>
                <w:rFonts w:ascii="Tele-GroteskEEHal" w:hAnsi="Tele-GroteskEEHal"/>
                <w:kern w:val="0"/>
                <w:sz w:val="22"/>
                <w:szCs w:val="22"/>
                <w:lang w:val="hr-HR" w:eastAsia="hr-HR"/>
              </w:rPr>
              <w:t>13</w:t>
            </w:r>
          </w:p>
        </w:tc>
        <w:tc>
          <w:tcPr>
            <w:tcW w:w="1595"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i/>
                <w:iCs/>
                <w:kern w:val="0"/>
                <w:lang w:val="hr-HR" w:eastAsia="hr-HR"/>
              </w:rPr>
            </w:pPr>
            <w:r w:rsidRPr="0047726D">
              <w:rPr>
                <w:rFonts w:ascii="Tele-GroteskEEHal" w:hAnsi="Tele-GroteskEEHal"/>
                <w:i/>
                <w:iCs/>
                <w:kern w:val="0"/>
                <w:sz w:val="22"/>
                <w:szCs w:val="22"/>
                <w:lang w:val="hr-HR" w:eastAsia="hr-HR"/>
              </w:rPr>
              <w:t>0,0%</w:t>
            </w:r>
          </w:p>
        </w:tc>
      </w:tr>
      <w:tr w:rsidR="003E4626" w:rsidRPr="0047726D" w:rsidTr="0047726D">
        <w:trPr>
          <w:trHeight w:val="342"/>
        </w:trPr>
        <w:tc>
          <w:tcPr>
            <w:tcW w:w="3897" w:type="dxa"/>
            <w:tcBorders>
              <w:top w:val="single" w:sz="4" w:space="0" w:color="auto"/>
              <w:left w:val="nil"/>
              <w:bottom w:val="single" w:sz="4" w:space="0" w:color="auto"/>
              <w:right w:val="nil"/>
            </w:tcBorders>
            <w:shd w:val="clear" w:color="auto" w:fill="E20074"/>
            <w:noWrap/>
            <w:vAlign w:val="center"/>
          </w:tcPr>
          <w:p w:rsidR="003E4626" w:rsidRPr="0047726D" w:rsidRDefault="003E4626" w:rsidP="0047726D">
            <w:pPr>
              <w:suppressAutoHyphens w:val="0"/>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Prihod</w:t>
            </w:r>
          </w:p>
        </w:tc>
        <w:tc>
          <w:tcPr>
            <w:tcW w:w="1354" w:type="dxa"/>
            <w:tcBorders>
              <w:top w:val="single" w:sz="4" w:space="0" w:color="auto"/>
              <w:left w:val="nil"/>
              <w:bottom w:val="single" w:sz="4" w:space="0" w:color="auto"/>
              <w:right w:val="nil"/>
            </w:tcBorders>
            <w:shd w:val="clear" w:color="auto" w:fill="E20074"/>
            <w:noWrap/>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3.327</w:t>
            </w:r>
          </w:p>
        </w:tc>
        <w:tc>
          <w:tcPr>
            <w:tcW w:w="1354" w:type="dxa"/>
            <w:tcBorders>
              <w:top w:val="single" w:sz="4" w:space="0" w:color="auto"/>
              <w:left w:val="nil"/>
              <w:bottom w:val="single" w:sz="4" w:space="0" w:color="auto"/>
              <w:right w:val="nil"/>
            </w:tcBorders>
            <w:shd w:val="clear" w:color="auto" w:fill="E20074"/>
            <w:noWrap/>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3.502</w:t>
            </w:r>
          </w:p>
        </w:tc>
        <w:tc>
          <w:tcPr>
            <w:tcW w:w="1595" w:type="dxa"/>
            <w:tcBorders>
              <w:top w:val="single" w:sz="4" w:space="0" w:color="auto"/>
              <w:left w:val="nil"/>
              <w:bottom w:val="single" w:sz="4" w:space="0" w:color="auto"/>
              <w:right w:val="nil"/>
            </w:tcBorders>
            <w:shd w:val="clear" w:color="auto" w:fill="E20074"/>
            <w:noWrap/>
            <w:vAlign w:val="center"/>
          </w:tcPr>
          <w:p w:rsidR="003E4626" w:rsidRPr="0047726D" w:rsidRDefault="003E4626" w:rsidP="0047726D">
            <w:pPr>
              <w:suppressAutoHyphens w:val="0"/>
              <w:jc w:val="right"/>
              <w:rPr>
                <w:rFonts w:ascii="Tele-GroteskEEHal" w:hAnsi="Tele-GroteskEEHal"/>
                <w:b/>
                <w:bCs/>
                <w:i/>
                <w:iCs/>
                <w:color w:val="FFFFFF"/>
                <w:kern w:val="0"/>
                <w:lang w:val="hr-HR" w:eastAsia="hr-HR"/>
              </w:rPr>
            </w:pPr>
            <w:r w:rsidRPr="0047726D">
              <w:rPr>
                <w:rFonts w:ascii="Tele-GroteskEEHal" w:hAnsi="Tele-GroteskEEHal"/>
                <w:b/>
                <w:bCs/>
                <w:i/>
                <w:iCs/>
                <w:color w:val="FFFFFF"/>
                <w:kern w:val="0"/>
                <w:sz w:val="22"/>
                <w:szCs w:val="22"/>
                <w:lang w:val="hr-HR" w:eastAsia="hr-HR"/>
              </w:rPr>
              <w:t>-5,0%</w:t>
            </w:r>
          </w:p>
        </w:tc>
      </w:tr>
      <w:tr w:rsidR="003E4626" w:rsidRPr="0047726D" w:rsidTr="0047726D">
        <w:trPr>
          <w:trHeight w:val="300"/>
        </w:trPr>
        <w:tc>
          <w:tcPr>
            <w:tcW w:w="3897"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 </w:t>
            </w:r>
          </w:p>
        </w:tc>
        <w:tc>
          <w:tcPr>
            <w:tcW w:w="1354"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 </w:t>
            </w:r>
          </w:p>
        </w:tc>
        <w:tc>
          <w:tcPr>
            <w:tcW w:w="1354"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 </w:t>
            </w:r>
          </w:p>
        </w:tc>
        <w:tc>
          <w:tcPr>
            <w:tcW w:w="1595"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color w:val="FFFFFF"/>
                <w:kern w:val="0"/>
                <w:lang w:val="hr-HR" w:eastAsia="hr-HR"/>
              </w:rPr>
            </w:pPr>
            <w:r w:rsidRPr="0047726D">
              <w:rPr>
                <w:rFonts w:ascii="Tele-GroteskEEHal" w:hAnsi="Tele-GroteskEEHal"/>
                <w:b/>
                <w:bCs/>
                <w:i/>
                <w:iCs/>
                <w:color w:val="FFFFFF"/>
                <w:kern w:val="0"/>
                <w:sz w:val="22"/>
                <w:szCs w:val="22"/>
                <w:lang w:val="hr-HR" w:eastAsia="hr-HR"/>
              </w:rPr>
              <w:t> </w:t>
            </w:r>
          </w:p>
        </w:tc>
      </w:tr>
      <w:tr w:rsidR="003E4626" w:rsidRPr="0047726D" w:rsidTr="0047726D">
        <w:trPr>
          <w:trHeight w:val="342"/>
        </w:trPr>
        <w:tc>
          <w:tcPr>
            <w:tcW w:w="3897" w:type="dxa"/>
            <w:tcBorders>
              <w:top w:val="nil"/>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Troškovi redovnog poslovanja</w:t>
            </w:r>
          </w:p>
        </w:tc>
        <w:tc>
          <w:tcPr>
            <w:tcW w:w="1354" w:type="dxa"/>
            <w:tcBorders>
              <w:top w:val="nil"/>
              <w:left w:val="nil"/>
              <w:bottom w:val="single" w:sz="4" w:space="0" w:color="auto"/>
              <w:right w:val="nil"/>
            </w:tcBorders>
            <w:shd w:val="clear" w:color="auto" w:fill="EAEAEA"/>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1.079</w:t>
            </w:r>
          </w:p>
        </w:tc>
        <w:tc>
          <w:tcPr>
            <w:tcW w:w="1354" w:type="dxa"/>
            <w:tcBorders>
              <w:top w:val="nil"/>
              <w:left w:val="nil"/>
              <w:bottom w:val="single" w:sz="4" w:space="0" w:color="auto"/>
              <w:right w:val="nil"/>
            </w:tcBorders>
            <w:shd w:val="clear" w:color="auto" w:fill="EAEAEA"/>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1.208</w:t>
            </w:r>
          </w:p>
        </w:tc>
        <w:tc>
          <w:tcPr>
            <w:tcW w:w="1595" w:type="dxa"/>
            <w:tcBorders>
              <w:top w:val="nil"/>
              <w:left w:val="nil"/>
              <w:bottom w:val="single" w:sz="4" w:space="0" w:color="auto"/>
              <w:right w:val="nil"/>
            </w:tcBorders>
            <w:shd w:val="clear" w:color="auto" w:fill="EAEAEA"/>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-10,7%</w:t>
            </w:r>
          </w:p>
        </w:tc>
      </w:tr>
      <w:tr w:rsidR="003E4626" w:rsidRPr="0047726D" w:rsidTr="0047726D">
        <w:trPr>
          <w:trHeight w:val="300"/>
        </w:trPr>
        <w:tc>
          <w:tcPr>
            <w:tcW w:w="3897"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 </w:t>
            </w:r>
          </w:p>
        </w:tc>
        <w:tc>
          <w:tcPr>
            <w:tcW w:w="1354"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354"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595"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color w:val="FF0000"/>
                <w:kern w:val="0"/>
                <w:lang w:val="hr-HR" w:eastAsia="hr-HR"/>
              </w:rPr>
            </w:pPr>
            <w:r w:rsidRPr="0047726D">
              <w:rPr>
                <w:rFonts w:ascii="Tele-GroteskEEHal" w:hAnsi="Tele-GroteskEEHal"/>
                <w:b/>
                <w:bCs/>
                <w:i/>
                <w:iCs/>
                <w:color w:val="FF0000"/>
                <w:kern w:val="0"/>
                <w:sz w:val="22"/>
                <w:szCs w:val="22"/>
                <w:lang w:val="hr-HR" w:eastAsia="hr-HR"/>
              </w:rPr>
              <w:t> </w:t>
            </w:r>
          </w:p>
        </w:tc>
      </w:tr>
      <w:tr w:rsidR="003E4626" w:rsidRPr="0047726D" w:rsidTr="0047726D">
        <w:trPr>
          <w:trHeight w:val="342"/>
        </w:trPr>
        <w:tc>
          <w:tcPr>
            <w:tcW w:w="3897" w:type="dxa"/>
            <w:tcBorders>
              <w:top w:val="nil"/>
              <w:left w:val="nil"/>
              <w:bottom w:val="single" w:sz="4" w:space="0" w:color="auto"/>
              <w:right w:val="nil"/>
            </w:tcBorders>
            <w:shd w:val="clear" w:color="auto" w:fill="E20074"/>
            <w:noWrap/>
            <w:vAlign w:val="center"/>
          </w:tcPr>
          <w:p w:rsidR="003E4626" w:rsidRPr="0047726D" w:rsidRDefault="003E4626" w:rsidP="0047726D">
            <w:pPr>
              <w:suppressAutoHyphens w:val="0"/>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EBITDA Doprinos</w:t>
            </w:r>
          </w:p>
        </w:tc>
        <w:tc>
          <w:tcPr>
            <w:tcW w:w="1354" w:type="dxa"/>
            <w:tcBorders>
              <w:top w:val="nil"/>
              <w:left w:val="nil"/>
              <w:bottom w:val="single" w:sz="4" w:space="0" w:color="auto"/>
              <w:right w:val="nil"/>
            </w:tcBorders>
            <w:shd w:val="clear" w:color="auto" w:fill="E20074"/>
            <w:noWrap/>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2.248</w:t>
            </w:r>
          </w:p>
        </w:tc>
        <w:tc>
          <w:tcPr>
            <w:tcW w:w="1354" w:type="dxa"/>
            <w:tcBorders>
              <w:top w:val="nil"/>
              <w:left w:val="nil"/>
              <w:bottom w:val="single" w:sz="4" w:space="0" w:color="auto"/>
              <w:right w:val="nil"/>
            </w:tcBorders>
            <w:shd w:val="clear" w:color="auto" w:fill="E20074"/>
            <w:noWrap/>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2.294</w:t>
            </w:r>
          </w:p>
        </w:tc>
        <w:tc>
          <w:tcPr>
            <w:tcW w:w="1595" w:type="dxa"/>
            <w:tcBorders>
              <w:top w:val="nil"/>
              <w:left w:val="nil"/>
              <w:bottom w:val="single" w:sz="4" w:space="0" w:color="auto"/>
              <w:right w:val="nil"/>
            </w:tcBorders>
            <w:shd w:val="clear" w:color="auto" w:fill="E20074"/>
            <w:noWrap/>
            <w:vAlign w:val="center"/>
          </w:tcPr>
          <w:p w:rsidR="003E4626" w:rsidRPr="0047726D" w:rsidRDefault="003E4626" w:rsidP="0047726D">
            <w:pPr>
              <w:suppressAutoHyphens w:val="0"/>
              <w:jc w:val="right"/>
              <w:rPr>
                <w:rFonts w:ascii="Tele-GroteskEEHal" w:hAnsi="Tele-GroteskEEHal"/>
                <w:b/>
                <w:bCs/>
                <w:i/>
                <w:iCs/>
                <w:color w:val="FFFFFF"/>
                <w:kern w:val="0"/>
                <w:lang w:val="hr-HR" w:eastAsia="hr-HR"/>
              </w:rPr>
            </w:pPr>
            <w:r w:rsidRPr="0047726D">
              <w:rPr>
                <w:rFonts w:ascii="Tele-GroteskEEHal" w:hAnsi="Tele-GroteskEEHal"/>
                <w:b/>
                <w:bCs/>
                <w:i/>
                <w:iCs/>
                <w:color w:val="FFFFFF"/>
                <w:kern w:val="0"/>
                <w:sz w:val="22"/>
                <w:szCs w:val="22"/>
                <w:lang w:val="hr-HR" w:eastAsia="hr-HR"/>
              </w:rPr>
              <w:t>-2,0%</w:t>
            </w:r>
          </w:p>
        </w:tc>
      </w:tr>
    </w:tbl>
    <w:p w:rsidR="003E4626" w:rsidRPr="00960D6B" w:rsidRDefault="003E4626" w:rsidP="0009574D">
      <w:pPr>
        <w:jc w:val="both"/>
        <w:rPr>
          <w:rFonts w:ascii="Tele-GroteskEEHal" w:hAnsi="Tele-GroteskEEHal" w:cs="Tahoma"/>
          <w:b/>
          <w:sz w:val="22"/>
          <w:szCs w:val="22"/>
          <w:lang w:val="hr-HR"/>
        </w:rPr>
      </w:pPr>
    </w:p>
    <w:p w:rsidR="003E4626" w:rsidRPr="00960D6B" w:rsidRDefault="003E4626" w:rsidP="00452D17">
      <w:pPr>
        <w:jc w:val="both"/>
        <w:rPr>
          <w:rFonts w:ascii="Tele-GroteskHal" w:hAnsi="Tele-GroteskHal"/>
          <w:sz w:val="22"/>
          <w:szCs w:val="22"/>
          <w:lang w:val="hr-HR"/>
        </w:rPr>
      </w:pPr>
      <w:r w:rsidRPr="00960D6B">
        <w:rPr>
          <w:rFonts w:ascii="Tele-GroteskHal" w:hAnsi="Tele-GroteskHal"/>
          <w:sz w:val="22"/>
          <w:szCs w:val="22"/>
          <w:lang w:val="hr-HR"/>
        </w:rPr>
        <w:t xml:space="preserve">U devet mjeseci do 30. rujna 2011. ukupni su se prihodi od privatnih korisnika smanjili za 5% na 3.327 milijuna kuna u odnosu na prošlu godinu. Pad je rezultat manjih prihoda od govornih usluga u pokretnoj i nepokretnoj mreži te manjih prihoda od negovornih usluga u pokretnoj mreži. </w:t>
      </w:r>
    </w:p>
    <w:p w:rsidR="003E4626" w:rsidRPr="00960D6B" w:rsidRDefault="003E4626" w:rsidP="00452D17">
      <w:pPr>
        <w:jc w:val="both"/>
        <w:rPr>
          <w:rFonts w:ascii="Tele-GroteskHal" w:hAnsi="Tele-GroteskHal"/>
          <w:sz w:val="22"/>
          <w:szCs w:val="22"/>
          <w:lang w:val="hr-HR"/>
        </w:rPr>
      </w:pPr>
    </w:p>
    <w:p w:rsidR="003E4626" w:rsidRPr="00960D6B" w:rsidRDefault="003E4626" w:rsidP="00452D17">
      <w:pPr>
        <w:jc w:val="both"/>
        <w:rPr>
          <w:rFonts w:ascii="Tele-GroteskHal" w:hAnsi="Tele-GroteskHal"/>
          <w:sz w:val="22"/>
          <w:szCs w:val="22"/>
          <w:lang w:val="hr-HR"/>
        </w:rPr>
      </w:pPr>
      <w:r w:rsidRPr="00960D6B">
        <w:rPr>
          <w:rFonts w:ascii="Tele-GroteskHal" w:hAnsi="Tele-GroteskHal"/>
          <w:sz w:val="22"/>
          <w:szCs w:val="22"/>
          <w:lang w:val="hr-HR"/>
        </w:rPr>
        <w:t xml:space="preserve">Navedeni se pad u velikoj mjeri može pripisati zakašnjelom gospodarskom oporavku, regulatornim mjerama i snažnom konkurentnom tržištu. </w:t>
      </w:r>
    </w:p>
    <w:p w:rsidR="003E4626" w:rsidRPr="00960D6B" w:rsidRDefault="003E4626" w:rsidP="003A5624">
      <w:pPr>
        <w:jc w:val="both"/>
        <w:rPr>
          <w:rFonts w:ascii="Tele-GroteskHal" w:hAnsi="Tele-GroteskHal"/>
          <w:sz w:val="22"/>
          <w:szCs w:val="22"/>
          <w:lang w:val="hr-HR"/>
        </w:rPr>
      </w:pPr>
    </w:p>
    <w:p w:rsidR="003E4626" w:rsidRPr="00960D6B" w:rsidRDefault="003E4626" w:rsidP="003A5624">
      <w:pPr>
        <w:jc w:val="both"/>
        <w:rPr>
          <w:rFonts w:ascii="Tele-GroteskEEHal" w:hAnsi="Tele-GroteskEEHal"/>
          <w:b/>
          <w:sz w:val="22"/>
          <w:szCs w:val="22"/>
          <w:lang w:val="hr-HR"/>
        </w:rPr>
      </w:pPr>
    </w:p>
    <w:p w:rsidR="003E4626" w:rsidRPr="00960D6B" w:rsidRDefault="003E4626" w:rsidP="003A5624">
      <w:pPr>
        <w:jc w:val="both"/>
        <w:rPr>
          <w:rFonts w:ascii="Tele-GroteskEEHal" w:hAnsi="Tele-GroteskEEHal"/>
          <w:b/>
          <w:sz w:val="22"/>
          <w:szCs w:val="22"/>
          <w:lang w:val="hr-HR"/>
        </w:rPr>
      </w:pPr>
      <w:r w:rsidRPr="00960D6B">
        <w:rPr>
          <w:rFonts w:ascii="Tele-GroteskEEHal" w:hAnsi="Tele-GroteskEEHal"/>
          <w:b/>
          <w:sz w:val="22"/>
          <w:szCs w:val="22"/>
          <w:lang w:val="hr-HR"/>
        </w:rPr>
        <w:t>Prihodi od govornih usluga</w:t>
      </w:r>
    </w:p>
    <w:p w:rsidR="003E4626" w:rsidRPr="00960D6B" w:rsidRDefault="003E4626" w:rsidP="003A5624">
      <w:pPr>
        <w:jc w:val="both"/>
        <w:rPr>
          <w:rFonts w:ascii="Tele-GroteskEEHal" w:hAnsi="Tele-GroteskEEHal"/>
          <w:sz w:val="22"/>
          <w:szCs w:val="22"/>
          <w:lang w:val="hr-HR"/>
        </w:rPr>
      </w:pPr>
    </w:p>
    <w:p w:rsidR="003E4626" w:rsidRPr="00960D6B" w:rsidRDefault="003E4626" w:rsidP="00430B60">
      <w:pPr>
        <w:jc w:val="both"/>
        <w:rPr>
          <w:rFonts w:ascii="Tele-GroteskEEHal" w:hAnsi="Tele-GroteskEEHal"/>
          <w:sz w:val="22"/>
          <w:szCs w:val="22"/>
          <w:lang w:val="hr-HR"/>
        </w:rPr>
      </w:pPr>
      <w:r w:rsidRPr="00960D6B">
        <w:rPr>
          <w:rFonts w:ascii="Tele-GroteskEEHal" w:hAnsi="Tele-GroteskEEHal"/>
          <w:sz w:val="22"/>
          <w:szCs w:val="22"/>
          <w:lang w:val="hr-HR"/>
        </w:rPr>
        <w:t>Pad prihoda od govornih usluga u pokretnoj mreži na maloprodajnoj razini u devet mjeseci do 30. rujna 2011. u odnosu na isto razdoblje 2010. potaknut je izuzetno konkurentnim tržištem, na kojemu cijene imaju stalan padajući trend, i teškoga gospodarskog okruženja. K tomu, prihodi od završetka poziva u pokretnoj mreži manji su zbog smanjenja cijena završetka poziva.</w:t>
      </w:r>
    </w:p>
    <w:p w:rsidR="003E4626" w:rsidRPr="00960D6B" w:rsidRDefault="003E4626" w:rsidP="00430B60">
      <w:pPr>
        <w:jc w:val="both"/>
        <w:rPr>
          <w:rFonts w:ascii="Tele-GroteskEEHal" w:hAnsi="Tele-GroteskEEHal"/>
          <w:sz w:val="22"/>
          <w:szCs w:val="22"/>
          <w:lang w:val="hr-HR"/>
        </w:rPr>
      </w:pPr>
    </w:p>
    <w:p w:rsidR="003E4626" w:rsidRPr="00960D6B" w:rsidRDefault="003E4626" w:rsidP="00430B60">
      <w:pPr>
        <w:jc w:val="both"/>
        <w:rPr>
          <w:rFonts w:ascii="Tele-GroteskEEHal" w:hAnsi="Tele-GroteskEEHal"/>
          <w:sz w:val="22"/>
          <w:szCs w:val="22"/>
          <w:lang w:val="hr-HR"/>
        </w:rPr>
      </w:pPr>
      <w:r w:rsidRPr="00960D6B">
        <w:rPr>
          <w:rFonts w:ascii="Tele-GroteskEEHal" w:hAnsi="Tele-GroteskEEHal"/>
          <w:sz w:val="22"/>
          <w:szCs w:val="22"/>
          <w:lang w:val="hr-HR"/>
        </w:rPr>
        <w:t>Međutim, broj minuta korištenja (MOU) po prosječnom pretplatniku u pokretnoj mreži povećao se za 3,4%, što pokazuje da je pad prihoda rezultat manjih prosječnih prihoda po prometu uzrokovanih gore navedenim čimbenicima.</w:t>
      </w:r>
    </w:p>
    <w:p w:rsidR="003E4626" w:rsidRPr="00960D6B" w:rsidRDefault="003E4626" w:rsidP="00430B60">
      <w:pPr>
        <w:jc w:val="both"/>
        <w:rPr>
          <w:rFonts w:ascii="Tele-GroteskEEHal" w:hAnsi="Tele-GroteskEEHal"/>
          <w:sz w:val="22"/>
          <w:szCs w:val="22"/>
          <w:lang w:val="hr-HR"/>
        </w:rPr>
      </w:pPr>
    </w:p>
    <w:p w:rsidR="003E4626" w:rsidRPr="00960D6B" w:rsidRDefault="003E4626" w:rsidP="00430B60">
      <w:pPr>
        <w:jc w:val="both"/>
        <w:rPr>
          <w:rFonts w:ascii="Tele-GroteskEEHal" w:hAnsi="Tele-GroteskEEHal"/>
          <w:sz w:val="22"/>
          <w:szCs w:val="22"/>
          <w:lang w:val="hr-HR"/>
        </w:rPr>
      </w:pPr>
      <w:r w:rsidRPr="00960D6B">
        <w:rPr>
          <w:rFonts w:ascii="Tele-GroteskEEHal" w:hAnsi="Tele-GroteskEEHal"/>
          <w:sz w:val="22"/>
          <w:szCs w:val="22"/>
          <w:lang w:val="hr-HR"/>
        </w:rPr>
        <w:t>Prihodi od nepokretne telefonije u devet mjeseci do 30. rujna 2011. bili su manji u odnosu na prošlu godinu zbog nastavka zamjene nepokretne telefonije pokretnom i regulatornih mjera (uključujući regulaciju WLR-a i samostalnog ADSL-a), što je rezultiralo smanjenjem broja priključaka od 8,3% i smanjenjem broja minuta korištenja od 10,1%. Kao rezultat manjega broja potrošenih minuta i pritisaka da se snize cijene, ARPA za govorne usluge smanjila se za 7,4%.</w:t>
      </w:r>
    </w:p>
    <w:p w:rsidR="003E4626" w:rsidRPr="00960D6B" w:rsidRDefault="003E4626" w:rsidP="003A5624">
      <w:pPr>
        <w:jc w:val="both"/>
        <w:rPr>
          <w:rFonts w:ascii="Tele-GroteskEEHal" w:hAnsi="Tele-GroteskEEHal"/>
          <w:sz w:val="22"/>
          <w:szCs w:val="22"/>
          <w:lang w:val="hr-HR"/>
        </w:rPr>
      </w:pPr>
    </w:p>
    <w:p w:rsidR="003E4626" w:rsidRPr="00960D6B" w:rsidRDefault="003E4626" w:rsidP="003A5624">
      <w:pPr>
        <w:jc w:val="both"/>
        <w:rPr>
          <w:rFonts w:ascii="Tele-GroteskEEHal" w:hAnsi="Tele-GroteskEEHal"/>
          <w:color w:val="FF0000"/>
          <w:sz w:val="22"/>
          <w:szCs w:val="22"/>
          <w:lang w:val="hr-HR"/>
        </w:rPr>
      </w:pPr>
    </w:p>
    <w:p w:rsidR="003E4626" w:rsidRPr="00960D6B" w:rsidRDefault="003E4626" w:rsidP="003A5624">
      <w:pPr>
        <w:jc w:val="both"/>
        <w:rPr>
          <w:rFonts w:ascii="Tele-GroteskEEHal" w:hAnsi="Tele-GroteskEEHal"/>
          <w:b/>
          <w:sz w:val="22"/>
          <w:szCs w:val="22"/>
          <w:lang w:val="hr-HR"/>
        </w:rPr>
      </w:pPr>
      <w:r w:rsidRPr="00960D6B">
        <w:rPr>
          <w:rFonts w:ascii="Tele-GroteskEEHal" w:hAnsi="Tele-GroteskEEHal"/>
          <w:b/>
          <w:sz w:val="22"/>
          <w:szCs w:val="22"/>
          <w:lang w:val="hr-HR"/>
        </w:rPr>
        <w:t>Prihodi od negovornih usluga</w:t>
      </w:r>
    </w:p>
    <w:p w:rsidR="003E4626" w:rsidRPr="00960D6B" w:rsidRDefault="003E4626" w:rsidP="003A5624">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sz w:val="22"/>
          <w:szCs w:val="22"/>
          <w:lang w:val="hr-HR"/>
        </w:rPr>
      </w:pPr>
      <w:r w:rsidRPr="00960D6B">
        <w:rPr>
          <w:rFonts w:ascii="Tele-GroteskEEHal" w:hAnsi="Tele-GroteskEEHal"/>
          <w:sz w:val="22"/>
          <w:szCs w:val="22"/>
          <w:lang w:val="hr-HR"/>
        </w:rPr>
        <w:t>U prvih devet mjeseci do 30. rujna 2011. prihodi od negovornih usluga povećali su se za 6,1% u odnosu na prošlu godinu kao rezultat većih prihoda od usluga u nepokretnoj mreži, dok su prihodi od usluga u pokretnoj mreži bili nešto manji.</w:t>
      </w:r>
    </w:p>
    <w:p w:rsidR="003E4626" w:rsidRPr="00960D6B" w:rsidRDefault="003E4626" w:rsidP="00950D6D">
      <w:pPr>
        <w:jc w:val="both"/>
        <w:rPr>
          <w:rFonts w:ascii="Tele-GroteskEEHal" w:hAnsi="Tele-GroteskEEHal"/>
          <w:sz w:val="22"/>
          <w:szCs w:val="22"/>
          <w:lang w:val="hr-HR"/>
        </w:rPr>
      </w:pPr>
      <w:r w:rsidRPr="00960D6B">
        <w:rPr>
          <w:rFonts w:ascii="Tele-GroteskEEHal" w:hAnsi="Tele-GroteskEEHal"/>
          <w:sz w:val="22"/>
          <w:szCs w:val="22"/>
          <w:lang w:val="hr-HR"/>
        </w:rPr>
        <w:t>U poslovanju pokretnih komunikacija vidljiva je redistribucija prihoda od negovornih usluga, uz veće prihode od podatkovnih usluga potpomognute paketima s konkurentnim cijenama i većom dostupnošću pametnih telefona. Navedeno naglašava prijelaz prosječnog korisnika pokretne telefonije na korištenje usluga prijenosa podataka te napuštanje govornih usluga i SMS-a.</w:t>
      </w:r>
    </w:p>
    <w:p w:rsidR="003E4626" w:rsidRPr="00960D6B" w:rsidRDefault="003E4626" w:rsidP="00950D6D">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sz w:val="22"/>
          <w:szCs w:val="22"/>
          <w:lang w:val="hr-HR"/>
        </w:rPr>
      </w:pPr>
      <w:r w:rsidRPr="00960D6B">
        <w:rPr>
          <w:rFonts w:ascii="Tele-GroteskEEHal" w:hAnsi="Tele-GroteskEEHal"/>
          <w:sz w:val="22"/>
          <w:szCs w:val="22"/>
          <w:lang w:val="hr-HR"/>
        </w:rPr>
        <w:t>Veći prihodi od negovornih usluga u nepokretnoj mreži (IP) ostvareni na kraju rujna 2011. u odnosu na isto razdoblje prošle godine rezultat su povećanja broja ADSL priključaka od 8,3% i povećanja broja televizijskih pretplatnika od 21,7%. Međutim, marketinške inicijative i promotivne ponude dovele su do smanjenja ARPA-e za ADSL od 5,9% u izvještajnom razdoblju.</w:t>
      </w:r>
    </w:p>
    <w:p w:rsidR="003E4626" w:rsidRDefault="003E4626" w:rsidP="003A5624">
      <w:pPr>
        <w:jc w:val="both"/>
        <w:rPr>
          <w:rFonts w:ascii="Tele-GroteskEEHal" w:hAnsi="Tele-GroteskEEHal"/>
          <w:sz w:val="22"/>
          <w:szCs w:val="22"/>
          <w:lang w:val="hr-HR"/>
        </w:rPr>
      </w:pPr>
    </w:p>
    <w:p w:rsidR="003E4626" w:rsidRPr="00960D6B" w:rsidRDefault="003E4626" w:rsidP="003A5624">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b/>
          <w:sz w:val="22"/>
          <w:szCs w:val="22"/>
          <w:lang w:val="hr-HR"/>
        </w:rPr>
      </w:pPr>
      <w:r w:rsidRPr="00960D6B">
        <w:rPr>
          <w:rFonts w:ascii="Tele-GroteskEEHal" w:hAnsi="Tele-GroteskEEHal"/>
          <w:b/>
          <w:sz w:val="22"/>
          <w:szCs w:val="22"/>
          <w:lang w:val="hr-HR"/>
        </w:rPr>
        <w:t>Prihodi od ostalih usluga</w:t>
      </w:r>
    </w:p>
    <w:p w:rsidR="003E4626" w:rsidRPr="00960D6B" w:rsidRDefault="003E4626" w:rsidP="00950D6D">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sz w:val="22"/>
          <w:szCs w:val="22"/>
          <w:lang w:val="hr-HR"/>
        </w:rPr>
      </w:pPr>
      <w:r w:rsidRPr="00960D6B">
        <w:rPr>
          <w:rFonts w:ascii="Tele-GroteskEEHal" w:hAnsi="Tele-GroteskEEHal"/>
          <w:sz w:val="22"/>
          <w:szCs w:val="22"/>
          <w:lang w:val="hr-HR"/>
        </w:rPr>
        <w:t xml:space="preserve">Prihodi od ostalih usluga bili su za 68 milijuna kuna veći kao rezultat drugačije strukture tarifa za pokretne komunikacije. </w:t>
      </w:r>
    </w:p>
    <w:p w:rsidR="003E4626" w:rsidRDefault="003E4626" w:rsidP="00950D6D">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b/>
          <w:sz w:val="22"/>
          <w:szCs w:val="22"/>
          <w:lang w:val="hr-HR"/>
        </w:rPr>
      </w:pPr>
      <w:r w:rsidRPr="00960D6B">
        <w:rPr>
          <w:rFonts w:ascii="Tele-GroteskEEHal" w:hAnsi="Tele-GroteskEEHal"/>
          <w:b/>
          <w:sz w:val="22"/>
          <w:szCs w:val="22"/>
          <w:lang w:val="hr-HR"/>
        </w:rPr>
        <w:t>Terminalna oprema</w:t>
      </w:r>
    </w:p>
    <w:p w:rsidR="003E4626" w:rsidRPr="00EA6677" w:rsidRDefault="003E4626" w:rsidP="00950D6D">
      <w:pPr>
        <w:jc w:val="both"/>
        <w:rPr>
          <w:rFonts w:ascii="Tele-GroteskEEHal" w:hAnsi="Tele-GroteskEEHal"/>
          <w:sz w:val="22"/>
          <w:szCs w:val="22"/>
          <w:lang w:val="hr-HR"/>
        </w:rPr>
      </w:pPr>
    </w:p>
    <w:p w:rsidR="003E4626" w:rsidRPr="00EA6677" w:rsidRDefault="003E4626" w:rsidP="00950D6D">
      <w:pPr>
        <w:jc w:val="both"/>
        <w:rPr>
          <w:rFonts w:ascii="Tele-GroteskEEHal" w:hAnsi="Tele-GroteskEEHal"/>
          <w:sz w:val="22"/>
          <w:szCs w:val="22"/>
          <w:lang w:val="hr-HR"/>
        </w:rPr>
      </w:pPr>
      <w:r w:rsidRPr="00EA6677">
        <w:rPr>
          <w:rFonts w:ascii="Tele-GroteskEEHal" w:hAnsi="Tele-GroteskEEHal"/>
          <w:sz w:val="22"/>
          <w:szCs w:val="22"/>
          <w:lang w:val="hr-HR"/>
        </w:rPr>
        <w:t xml:space="preserve">U devet mjeseci do 30. rujna 2011. prihodi od terminalne opreme smanjili su se za 15,1% na 115 milijuna kuna u odnosu na prošlu godinu. Navedeno je rezultat smanjene prodaje uređaja i drugačijeg tretmana CPE-a u odnosu na prošlu godinu. </w:t>
      </w:r>
    </w:p>
    <w:p w:rsidR="003E4626" w:rsidRDefault="003E4626" w:rsidP="00950D6D">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b/>
          <w:sz w:val="22"/>
          <w:szCs w:val="22"/>
          <w:lang w:val="hr-HR"/>
        </w:rPr>
      </w:pPr>
      <w:r w:rsidRPr="00960D6B">
        <w:rPr>
          <w:rFonts w:ascii="Tele-GroteskEEHal" w:hAnsi="Tele-GroteskEEHal"/>
          <w:b/>
          <w:sz w:val="22"/>
          <w:szCs w:val="22"/>
          <w:lang w:val="hr-HR"/>
        </w:rPr>
        <w:t>Doprinos EBITDA-i</w:t>
      </w:r>
    </w:p>
    <w:p w:rsidR="003E4626" w:rsidRPr="00960D6B" w:rsidRDefault="003E4626" w:rsidP="00950D6D">
      <w:pPr>
        <w:jc w:val="both"/>
        <w:rPr>
          <w:rFonts w:ascii="Tele-GroteskEEHal" w:hAnsi="Tele-GroteskEEHal"/>
          <w:sz w:val="22"/>
          <w:szCs w:val="22"/>
          <w:lang w:val="hr-HR"/>
        </w:rPr>
      </w:pPr>
    </w:p>
    <w:p w:rsidR="003E4626" w:rsidRPr="00960D6B" w:rsidRDefault="003E4626" w:rsidP="00950D6D">
      <w:pPr>
        <w:jc w:val="both"/>
        <w:rPr>
          <w:rFonts w:ascii="Tele-GroteskEEHal" w:hAnsi="Tele-GroteskEEHal"/>
          <w:sz w:val="22"/>
          <w:szCs w:val="22"/>
          <w:lang w:val="hr-HR"/>
        </w:rPr>
      </w:pPr>
      <w:r w:rsidRPr="00960D6B">
        <w:rPr>
          <w:rFonts w:ascii="Tele-GroteskEEHal" w:hAnsi="Tele-GroteskEEHal"/>
          <w:sz w:val="22"/>
          <w:szCs w:val="22"/>
          <w:lang w:val="hr-HR"/>
        </w:rPr>
        <w:t>U devet mjeseci do 30. rujna 2011. doprinos EBITDA-i iznosio je 2.248 milijuna kuna i bio je manji za 2,0% u odnosu na isto razdoblje prošle godine.</w:t>
      </w:r>
    </w:p>
    <w:p w:rsidR="003E4626" w:rsidRPr="00960D6B" w:rsidRDefault="003E4626" w:rsidP="003A5624">
      <w:pPr>
        <w:jc w:val="both"/>
        <w:rPr>
          <w:rFonts w:ascii="Tele-GroteskEEHal" w:hAnsi="Tele-GroteskEEHal"/>
          <w:sz w:val="22"/>
          <w:szCs w:val="22"/>
          <w:lang w:val="hr-HR"/>
        </w:rPr>
      </w:pPr>
    </w:p>
    <w:p w:rsidR="003E4626" w:rsidRPr="00960D6B" w:rsidRDefault="003E4626" w:rsidP="0008412C">
      <w:pPr>
        <w:jc w:val="both"/>
        <w:rPr>
          <w:rFonts w:ascii="Tele-GroteskEEHal" w:hAnsi="Tele-GroteskEEHal" w:cs="Tahoma"/>
          <w:sz w:val="22"/>
          <w:szCs w:val="22"/>
          <w:lang w:val="hr-HR"/>
        </w:rPr>
      </w:pPr>
    </w:p>
    <w:p w:rsidR="003E4626" w:rsidRPr="00960D6B" w:rsidRDefault="003E4626" w:rsidP="00D20A42">
      <w:pPr>
        <w:jc w:val="both"/>
        <w:rPr>
          <w:rFonts w:ascii="Tele-GroteskEEHal" w:hAnsi="Tele-GroteskEEHal" w:cs="Tahoma"/>
          <w:sz w:val="22"/>
          <w:szCs w:val="22"/>
          <w:lang w:val="hr-HR"/>
        </w:rPr>
      </w:pPr>
      <w:r w:rsidRPr="00960D6B">
        <w:rPr>
          <w:rFonts w:ascii="Tele-GroteskEEHal" w:hAnsi="Tele-GroteskEEHal" w:cs="Tahoma"/>
          <w:b/>
          <w:sz w:val="22"/>
          <w:szCs w:val="22"/>
          <w:lang w:val="hr-HR"/>
        </w:rPr>
        <w:t xml:space="preserve">Glavna obilježja poslovanja Segmenta poslovnih korisnika </w:t>
      </w:r>
    </w:p>
    <w:p w:rsidR="003E4626" w:rsidRPr="00960D6B" w:rsidRDefault="003E4626" w:rsidP="00D20A42">
      <w:pPr>
        <w:jc w:val="both"/>
        <w:rPr>
          <w:rFonts w:ascii="Tele-GroteskEEHal" w:hAnsi="Tele-GroteskEEHal" w:cs="Tahoma"/>
          <w:sz w:val="22"/>
          <w:szCs w:val="22"/>
          <w:lang w:val="hr-HR"/>
        </w:rPr>
      </w:pPr>
    </w:p>
    <w:p w:rsidR="003E4626" w:rsidRPr="00960D6B" w:rsidRDefault="003E4626" w:rsidP="00950D6D">
      <w:pPr>
        <w:numPr>
          <w:ilvl w:val="0"/>
          <w:numId w:val="23"/>
        </w:numPr>
        <w:suppressAutoHyphens w:val="0"/>
        <w:jc w:val="both"/>
        <w:rPr>
          <w:rFonts w:ascii="Tele-GroteskEEHal" w:hAnsi="Tele-GroteskEEHal"/>
          <w:sz w:val="22"/>
          <w:szCs w:val="22"/>
          <w:lang w:val="hr-HR"/>
        </w:rPr>
      </w:pPr>
      <w:r w:rsidRPr="00960D6B">
        <w:rPr>
          <w:rFonts w:ascii="Tele-GroteskEEHal" w:hAnsi="Tele-GroteskEEHal"/>
          <w:sz w:val="22"/>
          <w:szCs w:val="22"/>
          <w:lang w:val="hr-HR"/>
        </w:rPr>
        <w:t>Stabilna baza korisnika u svim segmentima i proizvodima/tarifama</w:t>
      </w:r>
    </w:p>
    <w:p w:rsidR="003E4626" w:rsidRPr="004B2998" w:rsidRDefault="003E4626" w:rsidP="00950D6D">
      <w:pPr>
        <w:numPr>
          <w:ilvl w:val="0"/>
          <w:numId w:val="23"/>
        </w:numPr>
        <w:suppressAutoHyphens w:val="0"/>
        <w:jc w:val="both"/>
        <w:rPr>
          <w:rFonts w:ascii="Tele-GroteskEEHal" w:hAnsi="Tele-GroteskEEHal"/>
          <w:sz w:val="22"/>
          <w:szCs w:val="22"/>
          <w:lang w:val="hr-HR"/>
        </w:rPr>
      </w:pPr>
      <w:r w:rsidRPr="004B2998">
        <w:rPr>
          <w:rFonts w:ascii="Tele-GroteskEEHal" w:hAnsi="Tele-GroteskEEHal"/>
          <w:sz w:val="22"/>
          <w:szCs w:val="22"/>
          <w:lang w:val="hr-HR"/>
        </w:rPr>
        <w:t xml:space="preserve">Broj pretplatnika usluga u pokretnoj mreži povećao se za 5,6% (povećanje od 1,1% </w:t>
      </w:r>
      <w:r w:rsidRPr="004B2998">
        <w:rPr>
          <w:rFonts w:ascii="Tele-GroteskEEHal" w:hAnsi="Tele-GroteskEEHal"/>
          <w:color w:val="000000"/>
          <w:sz w:val="22"/>
          <w:lang w:val="hr-HR"/>
        </w:rPr>
        <w:t xml:space="preserve">u odnosu na drugo tromjesečje 2011.) </w:t>
      </w:r>
    </w:p>
    <w:p w:rsidR="003E4626" w:rsidRPr="004B2998" w:rsidRDefault="003E4626" w:rsidP="00950D6D">
      <w:pPr>
        <w:numPr>
          <w:ilvl w:val="0"/>
          <w:numId w:val="23"/>
        </w:numPr>
        <w:jc w:val="both"/>
        <w:rPr>
          <w:rFonts w:ascii="Tele-GroteskEEHal" w:hAnsi="Tele-GroteskEEHal" w:cs="Tahoma"/>
          <w:sz w:val="22"/>
          <w:szCs w:val="22"/>
          <w:lang w:val="hr-HR"/>
        </w:rPr>
      </w:pPr>
      <w:r w:rsidRPr="004B2998">
        <w:rPr>
          <w:rFonts w:ascii="Tele-GroteskEEHal" w:hAnsi="Tele-GroteskEEHal" w:cs="Tahoma"/>
          <w:sz w:val="22"/>
          <w:szCs w:val="22"/>
          <w:lang w:val="hr-HR"/>
        </w:rPr>
        <w:t>Broj ADSL priključaka iznosio je 109.342, što je povećanje od 6,0% (povećanje od 0,9% u odnosu na ponovno iskazane brojčane podatke za drugo tromjesečje 2011.), dok je broj televizijskih korisnika iznosio 18.919, što je povećanje od 17,0% (povećanje od 2,6% u odnosu na drugo tromjesečje 2011.)</w:t>
      </w:r>
    </w:p>
    <w:p w:rsidR="003E4626" w:rsidRPr="004B2998" w:rsidRDefault="003E4626" w:rsidP="00950D6D">
      <w:pPr>
        <w:numPr>
          <w:ilvl w:val="0"/>
          <w:numId w:val="23"/>
        </w:numPr>
        <w:suppressAutoHyphens w:val="0"/>
        <w:jc w:val="both"/>
        <w:rPr>
          <w:rFonts w:ascii="Tele-GroteskEEHal" w:hAnsi="Tele-GroteskEEHal"/>
          <w:color w:val="000000"/>
          <w:sz w:val="22"/>
          <w:lang w:val="hr-HR"/>
        </w:rPr>
      </w:pPr>
      <w:r w:rsidRPr="004B2998">
        <w:rPr>
          <w:rFonts w:ascii="Tele-GroteskEEHal" w:hAnsi="Tele-GroteskEEHal"/>
          <w:color w:val="000000"/>
          <w:sz w:val="22"/>
          <w:lang w:val="hr-HR"/>
        </w:rPr>
        <w:t xml:space="preserve">Prihodi su se smanjili za 1,9% </w:t>
      </w:r>
    </w:p>
    <w:p w:rsidR="003E4626" w:rsidRPr="004B2998" w:rsidRDefault="003E4626" w:rsidP="00950D6D">
      <w:pPr>
        <w:numPr>
          <w:ilvl w:val="1"/>
          <w:numId w:val="23"/>
        </w:numPr>
        <w:suppressAutoHyphens w:val="0"/>
        <w:jc w:val="both"/>
        <w:rPr>
          <w:rFonts w:ascii="Tele-GroteskEEHal" w:hAnsi="Tele-GroteskEEHal"/>
          <w:sz w:val="22"/>
          <w:szCs w:val="22"/>
          <w:lang w:val="hr-HR"/>
        </w:rPr>
      </w:pPr>
      <w:r w:rsidRPr="004B2998">
        <w:rPr>
          <w:rFonts w:ascii="Tele-GroteskEEHal" w:hAnsi="Tele-GroteskEEHal"/>
          <w:sz w:val="22"/>
          <w:szCs w:val="22"/>
          <w:lang w:val="hr-HR"/>
        </w:rPr>
        <w:t>Prihodi od IP-a i ICT-a i dalje rastu zahvaljujući pokretanju novih ICT usluga</w:t>
      </w:r>
    </w:p>
    <w:p w:rsidR="003E4626" w:rsidRPr="00960D6B" w:rsidRDefault="003E4626" w:rsidP="00D2500B">
      <w:pPr>
        <w:numPr>
          <w:ilvl w:val="0"/>
          <w:numId w:val="23"/>
        </w:numPr>
        <w:suppressAutoHyphens w:val="0"/>
        <w:jc w:val="both"/>
        <w:rPr>
          <w:rFonts w:ascii="Tele-GroteskEEHal" w:hAnsi="Tele-GroteskEEHal"/>
          <w:sz w:val="22"/>
          <w:szCs w:val="22"/>
          <w:lang w:val="hr-HR"/>
        </w:rPr>
      </w:pPr>
      <w:r w:rsidRPr="00960D6B">
        <w:rPr>
          <w:rFonts w:ascii="Tele-GroteskEEHal" w:hAnsi="Tele-GroteskEEHal"/>
          <w:sz w:val="22"/>
          <w:szCs w:val="22"/>
          <w:lang w:val="hr-HR"/>
        </w:rPr>
        <w:t xml:space="preserve">Zadržan je položaj vodećeg davatelja veleprodajnih usluga </w:t>
      </w:r>
    </w:p>
    <w:p w:rsidR="003E4626" w:rsidRDefault="003E4626" w:rsidP="00D2500B">
      <w:pPr>
        <w:numPr>
          <w:ilvl w:val="0"/>
          <w:numId w:val="23"/>
        </w:numPr>
        <w:jc w:val="both"/>
        <w:rPr>
          <w:rFonts w:ascii="Tele-GroteskEEHal" w:hAnsi="Tele-GroteskEEHal" w:cs="Tahoma"/>
          <w:sz w:val="22"/>
          <w:szCs w:val="22"/>
          <w:lang w:val="hr-HR"/>
        </w:rPr>
      </w:pPr>
      <w:r w:rsidRPr="00960D6B">
        <w:rPr>
          <w:rFonts w:ascii="Tele-GroteskEEHal" w:hAnsi="Tele-GroteskEEHal" w:cs="Tahoma"/>
          <w:sz w:val="22"/>
          <w:szCs w:val="22"/>
          <w:lang w:val="hr-HR"/>
        </w:rPr>
        <w:t>Doprinos EBITDA-i u iznosu od 1.731 milijun kuna manji je za 9,8%</w:t>
      </w:r>
    </w:p>
    <w:p w:rsidR="003E4626" w:rsidRDefault="003E4626" w:rsidP="0047726D">
      <w:pPr>
        <w:jc w:val="both"/>
        <w:rPr>
          <w:rFonts w:ascii="Tele-GroteskEEHal" w:hAnsi="Tele-GroteskEEHal" w:cs="Tahoma"/>
          <w:sz w:val="22"/>
          <w:szCs w:val="22"/>
          <w:lang w:val="hr-HR"/>
        </w:rPr>
      </w:pPr>
    </w:p>
    <w:p w:rsidR="003E4626" w:rsidRDefault="003E4626" w:rsidP="0047726D">
      <w:pPr>
        <w:jc w:val="both"/>
        <w:rPr>
          <w:rFonts w:ascii="Tele-GroteskEEHal" w:hAnsi="Tele-GroteskEEHal" w:cs="Tahoma"/>
          <w:sz w:val="22"/>
          <w:szCs w:val="22"/>
          <w:lang w:val="hr-HR"/>
        </w:rPr>
      </w:pPr>
    </w:p>
    <w:tbl>
      <w:tblPr>
        <w:tblW w:w="8647" w:type="dxa"/>
        <w:tblInd w:w="108" w:type="dxa"/>
        <w:tblLook w:val="0000"/>
      </w:tblPr>
      <w:tblGrid>
        <w:gridCol w:w="4540"/>
        <w:gridCol w:w="1200"/>
        <w:gridCol w:w="1200"/>
        <w:gridCol w:w="1600"/>
        <w:gridCol w:w="107"/>
      </w:tblGrid>
      <w:tr w:rsidR="003E4626" w:rsidRPr="0047726D" w:rsidTr="0047726D">
        <w:trPr>
          <w:gridAfter w:val="1"/>
          <w:wAfter w:w="107" w:type="dxa"/>
          <w:trHeight w:val="799"/>
        </w:trPr>
        <w:tc>
          <w:tcPr>
            <w:tcW w:w="4540" w:type="dxa"/>
            <w:tcBorders>
              <w:top w:val="single" w:sz="4" w:space="0" w:color="auto"/>
              <w:left w:val="nil"/>
              <w:bottom w:val="single" w:sz="4" w:space="0" w:color="auto"/>
              <w:right w:val="nil"/>
            </w:tcBorders>
            <w:shd w:val="clear" w:color="auto" w:fill="E20074"/>
            <w:vAlign w:val="center"/>
          </w:tcPr>
          <w:p w:rsidR="003E4626" w:rsidRPr="0047726D" w:rsidRDefault="003E4626" w:rsidP="0047726D">
            <w:pPr>
              <w:suppressAutoHyphens w:val="0"/>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Ključni podaci o redovnom poslovanju</w:t>
            </w:r>
          </w:p>
        </w:tc>
        <w:tc>
          <w:tcPr>
            <w:tcW w:w="1200" w:type="dxa"/>
            <w:tcBorders>
              <w:top w:val="single" w:sz="4" w:space="0" w:color="auto"/>
              <w:left w:val="nil"/>
              <w:bottom w:val="single" w:sz="4" w:space="0" w:color="auto"/>
              <w:right w:val="nil"/>
            </w:tcBorders>
            <w:shd w:val="clear" w:color="auto" w:fill="E20074"/>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 xml:space="preserve">Sij.-Ruj. </w:t>
            </w:r>
            <w:r w:rsidRPr="0047726D">
              <w:rPr>
                <w:rFonts w:ascii="Tele-GroteskEEHal" w:hAnsi="Tele-GroteskEEHal"/>
                <w:b/>
                <w:bCs/>
                <w:color w:val="FFFFFF"/>
                <w:kern w:val="0"/>
                <w:sz w:val="22"/>
                <w:szCs w:val="22"/>
                <w:lang w:val="hr-HR" w:eastAsia="hr-HR"/>
              </w:rPr>
              <w:br/>
              <w:t>2011.</w:t>
            </w:r>
          </w:p>
        </w:tc>
        <w:tc>
          <w:tcPr>
            <w:tcW w:w="1200" w:type="dxa"/>
            <w:tcBorders>
              <w:top w:val="single" w:sz="4" w:space="0" w:color="auto"/>
              <w:left w:val="nil"/>
              <w:bottom w:val="single" w:sz="4" w:space="0" w:color="auto"/>
              <w:right w:val="nil"/>
            </w:tcBorders>
            <w:shd w:val="clear" w:color="auto" w:fill="E20074"/>
            <w:vAlign w:val="center"/>
          </w:tcPr>
          <w:p w:rsidR="003E4626" w:rsidRPr="0047726D" w:rsidRDefault="003E4626" w:rsidP="0047726D">
            <w:pPr>
              <w:suppressAutoHyphens w:val="0"/>
              <w:jc w:val="right"/>
              <w:rPr>
                <w:rFonts w:ascii="Tele-GroteskEEHal" w:hAnsi="Tele-GroteskEEHal"/>
                <w:b/>
                <w:bCs/>
                <w:color w:val="FFFFFF"/>
                <w:kern w:val="0"/>
                <w:lang w:val="hr-HR" w:eastAsia="hr-HR"/>
              </w:rPr>
            </w:pPr>
            <w:r w:rsidRPr="0047726D">
              <w:rPr>
                <w:rFonts w:ascii="Tele-GroteskEEHal" w:hAnsi="Tele-GroteskEEHal"/>
                <w:b/>
                <w:bCs/>
                <w:color w:val="FFFFFF"/>
                <w:kern w:val="0"/>
                <w:sz w:val="22"/>
                <w:szCs w:val="22"/>
                <w:lang w:val="hr-HR" w:eastAsia="hr-HR"/>
              </w:rPr>
              <w:t xml:space="preserve">Sij.-Ruj. </w:t>
            </w:r>
            <w:r w:rsidRPr="0047726D">
              <w:rPr>
                <w:rFonts w:ascii="Tele-GroteskEEHal" w:hAnsi="Tele-GroteskEEHal"/>
                <w:b/>
                <w:bCs/>
                <w:color w:val="FFFFFF"/>
                <w:kern w:val="0"/>
                <w:sz w:val="22"/>
                <w:szCs w:val="22"/>
                <w:lang w:val="hr-HR" w:eastAsia="hr-HR"/>
              </w:rPr>
              <w:br/>
              <w:t>2010.</w:t>
            </w:r>
          </w:p>
        </w:tc>
        <w:tc>
          <w:tcPr>
            <w:tcW w:w="1600" w:type="dxa"/>
            <w:tcBorders>
              <w:top w:val="single" w:sz="4" w:space="0" w:color="auto"/>
              <w:left w:val="nil"/>
              <w:bottom w:val="single" w:sz="4" w:space="0" w:color="auto"/>
              <w:right w:val="nil"/>
            </w:tcBorders>
            <w:shd w:val="clear" w:color="auto" w:fill="E20074"/>
            <w:vAlign w:val="center"/>
          </w:tcPr>
          <w:p w:rsidR="003E4626" w:rsidRPr="0047726D" w:rsidRDefault="003E4626" w:rsidP="0047726D">
            <w:pPr>
              <w:suppressAutoHyphens w:val="0"/>
              <w:jc w:val="right"/>
              <w:rPr>
                <w:rFonts w:ascii="Tele-GroteskEEHal" w:hAnsi="Tele-GroteskEEHal"/>
                <w:b/>
                <w:bCs/>
                <w:i/>
                <w:iCs/>
                <w:color w:val="FFFFFF"/>
                <w:kern w:val="0"/>
                <w:lang w:val="hr-HR" w:eastAsia="hr-HR"/>
              </w:rPr>
            </w:pPr>
            <w:r w:rsidRPr="0047726D">
              <w:rPr>
                <w:rFonts w:ascii="Tele-GroteskEEHal" w:hAnsi="Tele-GroteskEEHal"/>
                <w:b/>
                <w:bCs/>
                <w:i/>
                <w:iCs/>
                <w:color w:val="FFFFFF"/>
                <w:kern w:val="0"/>
                <w:sz w:val="22"/>
                <w:szCs w:val="22"/>
                <w:lang w:val="hr-HR" w:eastAsia="hr-HR"/>
              </w:rPr>
              <w:t xml:space="preserve">% promjene </w:t>
            </w:r>
            <w:r w:rsidRPr="0047726D">
              <w:rPr>
                <w:rFonts w:ascii="Tele-GroteskEEHal" w:hAnsi="Tele-GroteskEEHal"/>
                <w:b/>
                <w:bCs/>
                <w:i/>
                <w:iCs/>
                <w:color w:val="FFFFFF"/>
                <w:kern w:val="0"/>
                <w:sz w:val="22"/>
                <w:szCs w:val="22"/>
                <w:lang w:val="hr-HR" w:eastAsia="hr-HR"/>
              </w:rPr>
              <w:br/>
              <w:t>11/10</w:t>
            </w:r>
          </w:p>
        </w:tc>
      </w:tr>
      <w:tr w:rsidR="003E4626" w:rsidRPr="0047726D" w:rsidTr="0047726D">
        <w:trPr>
          <w:gridAfter w:val="1"/>
          <w:wAfter w:w="107" w:type="dxa"/>
          <w:trHeight w:val="600"/>
        </w:trPr>
        <w:tc>
          <w:tcPr>
            <w:tcW w:w="454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Mobilni Pretplatnici u 000</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6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Broj pretplatnika</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454</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430</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5,6%</w:t>
            </w:r>
          </w:p>
        </w:tc>
      </w:tr>
      <w:tr w:rsidR="003E4626" w:rsidRPr="0047726D" w:rsidTr="0047726D">
        <w:trPr>
          <w:gridAfter w:val="1"/>
          <w:wAfter w:w="107" w:type="dxa"/>
          <w:trHeight w:val="702"/>
        </w:trPr>
        <w:tc>
          <w:tcPr>
            <w:tcW w:w="4540" w:type="dxa"/>
            <w:tcBorders>
              <w:top w:val="nil"/>
              <w:left w:val="nil"/>
              <w:bottom w:val="single" w:sz="4" w:space="0" w:color="auto"/>
              <w:right w:val="nil"/>
            </w:tcBorders>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Minute korištenja (MOU) po prosječnom korisniku</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288</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301</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-4,2%</w:t>
            </w:r>
          </w:p>
        </w:tc>
      </w:tr>
      <w:tr w:rsidR="003E4626" w:rsidRPr="0047726D" w:rsidTr="0047726D">
        <w:trPr>
          <w:gridAfter w:val="1"/>
          <w:wAfter w:w="107" w:type="dxa"/>
          <w:trHeight w:val="702"/>
        </w:trPr>
        <w:tc>
          <w:tcPr>
            <w:tcW w:w="4540" w:type="dxa"/>
            <w:tcBorders>
              <w:top w:val="nil"/>
              <w:left w:val="nil"/>
              <w:bottom w:val="single" w:sz="4" w:space="0" w:color="auto"/>
              <w:right w:val="nil"/>
            </w:tcBorders>
            <w:vAlign w:val="center"/>
          </w:tcPr>
          <w:p w:rsidR="003E4626" w:rsidRPr="0047726D" w:rsidRDefault="003E4626" w:rsidP="0047726D">
            <w:pPr>
              <w:suppressAutoHyphens w:val="0"/>
              <w:rPr>
                <w:rFonts w:ascii="Tele-GroteskEEHal" w:hAnsi="Tele-GroteskEEHal"/>
                <w:b/>
                <w:bCs/>
                <w:color w:val="000000"/>
                <w:kern w:val="0"/>
                <w:lang w:val="hr-HR" w:eastAsia="hr-HR"/>
              </w:rPr>
            </w:pPr>
            <w:r w:rsidRPr="0047726D">
              <w:rPr>
                <w:rFonts w:ascii="Tele-GroteskEEHal" w:hAnsi="Tele-GroteskEEHal"/>
                <w:b/>
                <w:bCs/>
                <w:color w:val="000000"/>
                <w:kern w:val="0"/>
                <w:sz w:val="22"/>
                <w:szCs w:val="22"/>
                <w:lang w:val="hr-HR" w:eastAsia="hr-HR"/>
              </w:rPr>
              <w:t>Prosječni ARPU</w:t>
            </w:r>
            <w:r w:rsidRPr="0047726D">
              <w:rPr>
                <w:rFonts w:ascii="Tele-GroteskEEHal" w:hAnsi="Tele-GroteskEEHal"/>
                <w:b/>
                <w:bCs/>
                <w:color w:val="000000"/>
                <w:kern w:val="0"/>
                <w:sz w:val="22"/>
                <w:szCs w:val="22"/>
                <w:lang w:val="hr-HR" w:eastAsia="hr-HR"/>
              </w:rPr>
              <w:br/>
              <w:t>(mjesečni prosjek za period u HRK)</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184</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204</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-9,6%</w:t>
            </w:r>
          </w:p>
        </w:tc>
      </w:tr>
      <w:tr w:rsidR="003E4626" w:rsidRPr="0047726D" w:rsidTr="0047726D">
        <w:trPr>
          <w:gridAfter w:val="1"/>
          <w:wAfter w:w="107" w:type="dxa"/>
          <w:trHeight w:val="300"/>
        </w:trPr>
        <w:tc>
          <w:tcPr>
            <w:tcW w:w="454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color w:val="000000"/>
                <w:kern w:val="0"/>
                <w:lang w:val="hr-HR" w:eastAsia="hr-HR"/>
              </w:rPr>
            </w:pPr>
          </w:p>
        </w:tc>
        <w:tc>
          <w:tcPr>
            <w:tcW w:w="120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color w:val="FF0000"/>
                <w:kern w:val="0"/>
                <w:lang w:val="hr-HR" w:eastAsia="hr-HR"/>
              </w:rPr>
            </w:pPr>
          </w:p>
        </w:tc>
        <w:tc>
          <w:tcPr>
            <w:tcW w:w="120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color w:val="FF0000"/>
                <w:kern w:val="0"/>
                <w:lang w:val="hr-HR" w:eastAsia="hr-HR"/>
              </w:rPr>
            </w:pPr>
          </w:p>
        </w:tc>
        <w:tc>
          <w:tcPr>
            <w:tcW w:w="160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i/>
                <w:iCs/>
                <w:color w:val="FF0000"/>
                <w:kern w:val="0"/>
                <w:lang w:val="hr-HR" w:eastAsia="hr-HR"/>
              </w:rPr>
            </w:pPr>
          </w:p>
        </w:tc>
      </w:tr>
      <w:tr w:rsidR="003E4626" w:rsidRPr="0047726D" w:rsidTr="0047726D">
        <w:trPr>
          <w:gridAfter w:val="1"/>
          <w:wAfter w:w="107" w:type="dxa"/>
          <w:trHeight w:val="600"/>
        </w:trPr>
        <w:tc>
          <w:tcPr>
            <w:tcW w:w="454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Korisnici nepokretnih usluga u 000</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6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i/>
                <w:iCs/>
                <w:color w:val="FF0000"/>
                <w:kern w:val="0"/>
                <w:lang w:val="hr-HR" w:eastAsia="hr-HR"/>
              </w:rPr>
            </w:pPr>
            <w:r w:rsidRPr="0047726D">
              <w:rPr>
                <w:rFonts w:ascii="Tele-GroteskEEHal" w:hAnsi="Tele-GroteskEEHal"/>
                <w:b/>
                <w:bCs/>
                <w:i/>
                <w:iCs/>
                <w:color w:val="FF0000"/>
                <w:kern w:val="0"/>
                <w:sz w:val="22"/>
                <w:szCs w:val="22"/>
                <w:lang w:val="hr-HR" w:eastAsia="hr-HR"/>
              </w:rPr>
              <w:t> </w:t>
            </w:r>
          </w:p>
        </w:tc>
      </w:tr>
      <w:tr w:rsidR="003E4626" w:rsidRPr="0047726D" w:rsidTr="0047726D">
        <w:trPr>
          <w:gridAfter w:val="1"/>
          <w:wAfter w:w="107" w:type="dxa"/>
          <w:trHeight w:val="420"/>
        </w:trPr>
        <w:tc>
          <w:tcPr>
            <w:tcW w:w="4540" w:type="dxa"/>
            <w:tcBorders>
              <w:top w:val="nil"/>
              <w:left w:val="nil"/>
              <w:bottom w:val="single" w:sz="4" w:space="0" w:color="auto"/>
              <w:right w:val="nil"/>
            </w:tcBorders>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Ukupne telefonske linije</w:t>
            </w:r>
            <w:r w:rsidRPr="0047726D">
              <w:rPr>
                <w:rFonts w:ascii="Tele-GroteskEEHal" w:hAnsi="Tele-GroteskEEHal"/>
                <w:b/>
                <w:bCs/>
                <w:kern w:val="0"/>
                <w:sz w:val="22"/>
                <w:szCs w:val="22"/>
                <w:vertAlign w:val="superscript"/>
                <w:lang w:val="hr-HR" w:eastAsia="hr-HR"/>
              </w:rPr>
              <w:t>1)</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199</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219</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-9,2%</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Ukupni promet (milijuni minuta)</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538</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654</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-17,7%</w:t>
            </w:r>
          </w:p>
        </w:tc>
      </w:tr>
      <w:tr w:rsidR="003E4626" w:rsidRPr="0047726D" w:rsidTr="0047726D">
        <w:trPr>
          <w:gridAfter w:val="1"/>
          <w:wAfter w:w="107" w:type="dxa"/>
          <w:trHeight w:val="702"/>
        </w:trPr>
        <w:tc>
          <w:tcPr>
            <w:tcW w:w="4540" w:type="dxa"/>
            <w:tcBorders>
              <w:top w:val="nil"/>
              <w:left w:val="nil"/>
              <w:bottom w:val="single" w:sz="4" w:space="0" w:color="auto"/>
              <w:right w:val="nil"/>
            </w:tcBorders>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 xml:space="preserve">ARPA govornih usluga po pristupu </w:t>
            </w:r>
            <w:r w:rsidRPr="0047726D">
              <w:rPr>
                <w:rFonts w:ascii="Tele-GroteskEEHal" w:hAnsi="Tele-GroteskEEHal"/>
                <w:b/>
                <w:bCs/>
                <w:kern w:val="0"/>
                <w:sz w:val="22"/>
                <w:szCs w:val="22"/>
                <w:lang w:val="hr-HR" w:eastAsia="hr-HR"/>
              </w:rPr>
              <w:br/>
              <w:t>(mjesečni prosjek za period u HRK)</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238</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268</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-11,0%</w:t>
            </w:r>
          </w:p>
        </w:tc>
      </w:tr>
      <w:tr w:rsidR="003E4626" w:rsidRPr="0047726D" w:rsidTr="0047726D">
        <w:trPr>
          <w:gridAfter w:val="1"/>
          <w:wAfter w:w="107" w:type="dxa"/>
          <w:trHeight w:val="300"/>
        </w:trPr>
        <w:tc>
          <w:tcPr>
            <w:tcW w:w="454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color w:val="000000"/>
                <w:kern w:val="0"/>
                <w:lang w:val="hr-HR" w:eastAsia="hr-HR"/>
              </w:rPr>
            </w:pPr>
          </w:p>
        </w:tc>
        <w:tc>
          <w:tcPr>
            <w:tcW w:w="120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color w:val="FF0000"/>
                <w:kern w:val="0"/>
                <w:lang w:val="hr-HR" w:eastAsia="hr-HR"/>
              </w:rPr>
            </w:pPr>
          </w:p>
        </w:tc>
        <w:tc>
          <w:tcPr>
            <w:tcW w:w="120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color w:val="FF0000"/>
                <w:kern w:val="0"/>
                <w:lang w:val="hr-HR" w:eastAsia="hr-HR"/>
              </w:rPr>
            </w:pPr>
          </w:p>
        </w:tc>
        <w:tc>
          <w:tcPr>
            <w:tcW w:w="160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i/>
                <w:iCs/>
                <w:color w:val="FF0000"/>
                <w:kern w:val="0"/>
                <w:lang w:val="hr-HR" w:eastAsia="hr-HR"/>
              </w:rPr>
            </w:pPr>
          </w:p>
        </w:tc>
      </w:tr>
      <w:tr w:rsidR="003E4626" w:rsidRPr="0047726D" w:rsidTr="0047726D">
        <w:trPr>
          <w:gridAfter w:val="1"/>
          <w:wAfter w:w="107" w:type="dxa"/>
          <w:trHeight w:val="600"/>
        </w:trPr>
        <w:tc>
          <w:tcPr>
            <w:tcW w:w="454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IP linije/korisnici u 000</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6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i/>
                <w:iCs/>
                <w:color w:val="FF0000"/>
                <w:kern w:val="0"/>
                <w:lang w:val="hr-HR" w:eastAsia="hr-HR"/>
              </w:rPr>
            </w:pPr>
            <w:r w:rsidRPr="0047726D">
              <w:rPr>
                <w:rFonts w:ascii="Tele-GroteskEEHal" w:hAnsi="Tele-GroteskEEHal"/>
                <w:b/>
                <w:bCs/>
                <w:i/>
                <w:iCs/>
                <w:color w:val="FF0000"/>
                <w:kern w:val="0"/>
                <w:sz w:val="22"/>
                <w:szCs w:val="22"/>
                <w:lang w:val="hr-HR" w:eastAsia="hr-HR"/>
              </w:rPr>
              <w:t> </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 xml:space="preserve">ADSL linije </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109</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103</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6,0%</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TV korisnici</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19</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16</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17,0%</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Korisnici stalne Internet linije</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5,7%</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VPN pristupne točke</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4</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4</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8,5%</w:t>
            </w:r>
          </w:p>
        </w:tc>
      </w:tr>
      <w:tr w:rsidR="003E4626" w:rsidRPr="0047726D" w:rsidTr="0047726D">
        <w:trPr>
          <w:gridAfter w:val="1"/>
          <w:wAfter w:w="107" w:type="dxa"/>
          <w:trHeight w:val="702"/>
        </w:trPr>
        <w:tc>
          <w:tcPr>
            <w:tcW w:w="4540" w:type="dxa"/>
            <w:tcBorders>
              <w:top w:val="nil"/>
              <w:left w:val="nil"/>
              <w:bottom w:val="single" w:sz="4" w:space="0" w:color="auto"/>
              <w:right w:val="nil"/>
            </w:tcBorders>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 xml:space="preserve">ARPA za ADSL linije </w:t>
            </w:r>
            <w:r w:rsidRPr="0047726D">
              <w:rPr>
                <w:rFonts w:ascii="Tele-GroteskEEHal" w:hAnsi="Tele-GroteskEEHal"/>
                <w:b/>
                <w:bCs/>
                <w:kern w:val="0"/>
                <w:sz w:val="22"/>
                <w:szCs w:val="22"/>
                <w:lang w:val="hr-HR" w:eastAsia="hr-HR"/>
              </w:rPr>
              <w:br/>
              <w:t>(mjesečni prosjek za period u HRK)</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133</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138</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-3,9%</w:t>
            </w:r>
          </w:p>
        </w:tc>
      </w:tr>
      <w:tr w:rsidR="003E4626" w:rsidRPr="0047726D" w:rsidTr="0047726D">
        <w:trPr>
          <w:gridAfter w:val="1"/>
          <w:wAfter w:w="107" w:type="dxa"/>
          <w:trHeight w:val="600"/>
        </w:trPr>
        <w:tc>
          <w:tcPr>
            <w:tcW w:w="454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Podatkovne usluge u 000</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6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i/>
                <w:iCs/>
                <w:color w:val="FF0000"/>
                <w:kern w:val="0"/>
                <w:lang w:val="hr-HR" w:eastAsia="hr-HR"/>
              </w:rPr>
            </w:pPr>
            <w:r w:rsidRPr="0047726D">
              <w:rPr>
                <w:rFonts w:ascii="Tele-GroteskEEHal" w:hAnsi="Tele-GroteskEEHal"/>
                <w:b/>
                <w:bCs/>
                <w:i/>
                <w:iCs/>
                <w:color w:val="FF0000"/>
                <w:kern w:val="0"/>
                <w:sz w:val="22"/>
                <w:szCs w:val="22"/>
                <w:lang w:val="hr-HR" w:eastAsia="hr-HR"/>
              </w:rPr>
              <w:t> </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Broj linija</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6</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6</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-7,2%</w:t>
            </w:r>
          </w:p>
        </w:tc>
      </w:tr>
      <w:tr w:rsidR="003E4626" w:rsidRPr="0047726D" w:rsidTr="0047726D">
        <w:trPr>
          <w:gridAfter w:val="1"/>
          <w:wAfter w:w="107" w:type="dxa"/>
          <w:trHeight w:val="600"/>
        </w:trPr>
        <w:tc>
          <w:tcPr>
            <w:tcW w:w="454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kern w:val="0"/>
                <w:lang w:val="hr-HR" w:eastAsia="hr-HR"/>
              </w:rPr>
            </w:pPr>
            <w:r w:rsidRPr="0047726D">
              <w:rPr>
                <w:rFonts w:ascii="Tele-GroteskEEHal" w:hAnsi="Tele-GroteskEEHal"/>
                <w:b/>
                <w:bCs/>
                <w:kern w:val="0"/>
                <w:sz w:val="22"/>
                <w:szCs w:val="22"/>
                <w:lang w:val="hr-HR" w:eastAsia="hr-HR"/>
              </w:rPr>
              <w:t>Veleprodajne usluge/korisnici u 000</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2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color w:val="FF0000"/>
                <w:kern w:val="0"/>
                <w:lang w:val="hr-HR" w:eastAsia="hr-HR"/>
              </w:rPr>
            </w:pPr>
            <w:r w:rsidRPr="0047726D">
              <w:rPr>
                <w:rFonts w:ascii="Tele-GroteskEEHal" w:hAnsi="Tele-GroteskEEHal"/>
                <w:b/>
                <w:bCs/>
                <w:color w:val="FF0000"/>
                <w:kern w:val="0"/>
                <w:sz w:val="22"/>
                <w:szCs w:val="22"/>
                <w:lang w:val="hr-HR" w:eastAsia="hr-HR"/>
              </w:rPr>
              <w:t> </w:t>
            </w:r>
          </w:p>
        </w:tc>
        <w:tc>
          <w:tcPr>
            <w:tcW w:w="1600" w:type="dxa"/>
            <w:tcBorders>
              <w:top w:val="single" w:sz="4" w:space="0" w:color="auto"/>
              <w:left w:val="nil"/>
              <w:bottom w:val="single" w:sz="4" w:space="0" w:color="auto"/>
              <w:right w:val="nil"/>
            </w:tcBorders>
            <w:shd w:val="clear" w:color="auto" w:fill="EAEAEA"/>
            <w:noWrap/>
            <w:vAlign w:val="center"/>
          </w:tcPr>
          <w:p w:rsidR="003E4626" w:rsidRPr="0047726D" w:rsidRDefault="003E4626" w:rsidP="0047726D">
            <w:pPr>
              <w:suppressAutoHyphens w:val="0"/>
              <w:rPr>
                <w:rFonts w:ascii="Tele-GroteskEEHal" w:hAnsi="Tele-GroteskEEHal"/>
                <w:b/>
                <w:bCs/>
                <w:i/>
                <w:iCs/>
                <w:color w:val="FF0000"/>
                <w:kern w:val="0"/>
                <w:lang w:val="hr-HR" w:eastAsia="hr-HR"/>
              </w:rPr>
            </w:pPr>
            <w:r w:rsidRPr="0047726D">
              <w:rPr>
                <w:rFonts w:ascii="Tele-GroteskEEHal" w:hAnsi="Tele-GroteskEEHal"/>
                <w:b/>
                <w:bCs/>
                <w:i/>
                <w:iCs/>
                <w:color w:val="FF0000"/>
                <w:kern w:val="0"/>
                <w:sz w:val="22"/>
                <w:szCs w:val="22"/>
                <w:lang w:val="hr-HR" w:eastAsia="hr-HR"/>
              </w:rPr>
              <w:t> </w:t>
            </w:r>
          </w:p>
        </w:tc>
      </w:tr>
      <w:tr w:rsidR="003E4626" w:rsidRPr="0047726D" w:rsidTr="0047726D">
        <w:trPr>
          <w:gridAfter w:val="1"/>
          <w:wAfter w:w="107" w:type="dxa"/>
          <w:trHeight w:val="420"/>
        </w:trPr>
        <w:tc>
          <w:tcPr>
            <w:tcW w:w="454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b/>
                <w:bCs/>
                <w:color w:val="000000"/>
                <w:kern w:val="0"/>
                <w:lang w:val="hr-HR" w:eastAsia="hr-HR"/>
              </w:rPr>
            </w:pPr>
            <w:r w:rsidRPr="0047726D">
              <w:rPr>
                <w:rFonts w:ascii="Tele-GroteskEEHal" w:hAnsi="Tele-GroteskEEHal"/>
                <w:b/>
                <w:bCs/>
                <w:color w:val="000000"/>
                <w:kern w:val="0"/>
                <w:sz w:val="22"/>
                <w:szCs w:val="22"/>
                <w:lang w:val="hr-HR" w:eastAsia="hr-HR"/>
              </w:rPr>
              <w:t>CPS (predodabir operatora)</w:t>
            </w:r>
          </w:p>
        </w:tc>
        <w:tc>
          <w:tcPr>
            <w:tcW w:w="12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137</w:t>
            </w:r>
          </w:p>
        </w:tc>
        <w:tc>
          <w:tcPr>
            <w:tcW w:w="12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224</w:t>
            </w:r>
          </w:p>
        </w:tc>
        <w:tc>
          <w:tcPr>
            <w:tcW w:w="16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-39,0%</w:t>
            </w:r>
          </w:p>
        </w:tc>
      </w:tr>
      <w:tr w:rsidR="003E4626" w:rsidRPr="0047726D" w:rsidTr="0047726D">
        <w:trPr>
          <w:gridAfter w:val="1"/>
          <w:wAfter w:w="107" w:type="dxa"/>
          <w:trHeight w:val="420"/>
        </w:trPr>
        <w:tc>
          <w:tcPr>
            <w:tcW w:w="454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b/>
                <w:bCs/>
                <w:color w:val="000000"/>
                <w:kern w:val="0"/>
                <w:lang w:val="hr-HR" w:eastAsia="hr-HR"/>
              </w:rPr>
            </w:pPr>
            <w:r w:rsidRPr="0047726D">
              <w:rPr>
                <w:rFonts w:ascii="Tele-GroteskEEHal" w:hAnsi="Tele-GroteskEEHal"/>
                <w:b/>
                <w:bCs/>
                <w:color w:val="000000"/>
                <w:kern w:val="0"/>
                <w:sz w:val="22"/>
                <w:szCs w:val="22"/>
                <w:lang w:val="hr-HR" w:eastAsia="hr-HR"/>
              </w:rPr>
              <w:t xml:space="preserve">NP (prenosivost broja) (korisnici/broj) </w:t>
            </w:r>
          </w:p>
        </w:tc>
        <w:tc>
          <w:tcPr>
            <w:tcW w:w="12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535</w:t>
            </w:r>
          </w:p>
        </w:tc>
        <w:tc>
          <w:tcPr>
            <w:tcW w:w="12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399</w:t>
            </w:r>
          </w:p>
        </w:tc>
        <w:tc>
          <w:tcPr>
            <w:tcW w:w="16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34,1%</w:t>
            </w:r>
          </w:p>
        </w:tc>
      </w:tr>
      <w:tr w:rsidR="003E4626" w:rsidRPr="0047726D" w:rsidTr="0047726D">
        <w:trPr>
          <w:gridAfter w:val="1"/>
          <w:wAfter w:w="107" w:type="dxa"/>
          <w:trHeight w:val="420"/>
        </w:trPr>
        <w:tc>
          <w:tcPr>
            <w:tcW w:w="4540" w:type="dxa"/>
            <w:tcBorders>
              <w:top w:val="nil"/>
              <w:left w:val="nil"/>
              <w:bottom w:val="nil"/>
              <w:right w:val="nil"/>
            </w:tcBorders>
            <w:noWrap/>
            <w:vAlign w:val="center"/>
          </w:tcPr>
          <w:p w:rsidR="003E4626" w:rsidRPr="0047726D" w:rsidRDefault="003E4626" w:rsidP="0047726D">
            <w:pPr>
              <w:suppressAutoHyphens w:val="0"/>
              <w:rPr>
                <w:rFonts w:ascii="Tele-GroteskEEHal" w:hAnsi="Tele-GroteskEEHal"/>
                <w:b/>
                <w:bCs/>
                <w:color w:val="000000"/>
                <w:kern w:val="0"/>
                <w:lang w:val="hr-HR" w:eastAsia="hr-HR"/>
              </w:rPr>
            </w:pPr>
            <w:r w:rsidRPr="0047726D">
              <w:rPr>
                <w:rFonts w:ascii="Tele-GroteskEEHal" w:hAnsi="Tele-GroteskEEHal"/>
                <w:b/>
                <w:bCs/>
                <w:color w:val="000000"/>
                <w:kern w:val="0"/>
                <w:sz w:val="22"/>
                <w:szCs w:val="22"/>
                <w:lang w:val="hr-HR" w:eastAsia="hr-HR"/>
              </w:rPr>
              <w:t>ULL (izdvojena lokalna petlja)</w:t>
            </w:r>
          </w:p>
        </w:tc>
        <w:tc>
          <w:tcPr>
            <w:tcW w:w="12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144</w:t>
            </w:r>
          </w:p>
        </w:tc>
        <w:tc>
          <w:tcPr>
            <w:tcW w:w="12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130</w:t>
            </w:r>
          </w:p>
        </w:tc>
        <w:tc>
          <w:tcPr>
            <w:tcW w:w="1600" w:type="dxa"/>
            <w:tcBorders>
              <w:top w:val="nil"/>
              <w:left w:val="nil"/>
              <w:bottom w:val="nil"/>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11,1%</w:t>
            </w:r>
          </w:p>
        </w:tc>
      </w:tr>
      <w:tr w:rsidR="003E4626" w:rsidRPr="0047726D" w:rsidTr="0047726D">
        <w:trPr>
          <w:gridAfter w:val="1"/>
          <w:wAfter w:w="107" w:type="dxa"/>
          <w:trHeight w:val="420"/>
        </w:trPr>
        <w:tc>
          <w:tcPr>
            <w:tcW w:w="4540" w:type="dxa"/>
            <w:tcBorders>
              <w:top w:val="nil"/>
              <w:left w:val="nil"/>
              <w:bottom w:val="single" w:sz="4" w:space="0" w:color="auto"/>
              <w:right w:val="nil"/>
            </w:tcBorders>
            <w:noWrap/>
            <w:vAlign w:val="center"/>
          </w:tcPr>
          <w:p w:rsidR="003E4626" w:rsidRPr="0047726D" w:rsidRDefault="003E4626" w:rsidP="0047726D">
            <w:pPr>
              <w:suppressAutoHyphens w:val="0"/>
              <w:rPr>
                <w:rFonts w:ascii="Tele-GroteskEEHal" w:hAnsi="Tele-GroteskEEHal"/>
                <w:b/>
                <w:bCs/>
                <w:color w:val="000000"/>
                <w:kern w:val="0"/>
                <w:lang w:val="hr-HR" w:eastAsia="hr-HR"/>
              </w:rPr>
            </w:pPr>
            <w:r w:rsidRPr="0047726D">
              <w:rPr>
                <w:rFonts w:ascii="Tele-GroteskEEHal" w:hAnsi="Tele-GroteskEEHal"/>
                <w:b/>
                <w:bCs/>
                <w:color w:val="000000"/>
                <w:kern w:val="0"/>
                <w:sz w:val="22"/>
                <w:szCs w:val="22"/>
                <w:lang w:val="hr-HR" w:eastAsia="hr-HR"/>
              </w:rPr>
              <w:t>WLR (najam korisničke linije)</w:t>
            </w:r>
            <w:r w:rsidRPr="0047726D">
              <w:rPr>
                <w:rFonts w:ascii="Tele-GroteskEEHal" w:hAnsi="Tele-GroteskEEHal"/>
                <w:b/>
                <w:bCs/>
                <w:color w:val="000000"/>
                <w:kern w:val="0"/>
                <w:sz w:val="22"/>
                <w:szCs w:val="22"/>
                <w:vertAlign w:val="superscript"/>
                <w:lang w:val="hr-HR" w:eastAsia="hr-HR"/>
              </w:rPr>
              <w:t>2)</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78</w:t>
            </w:r>
          </w:p>
        </w:tc>
        <w:tc>
          <w:tcPr>
            <w:tcW w:w="12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kern w:val="0"/>
                <w:lang w:val="hr-HR" w:eastAsia="hr-HR"/>
              </w:rPr>
            </w:pPr>
            <w:r w:rsidRPr="0047726D">
              <w:rPr>
                <w:rFonts w:ascii="Tele-GroteskEEHal" w:hAnsi="Tele-GroteskEEHal"/>
                <w:b/>
                <w:bCs/>
                <w:kern w:val="0"/>
                <w:sz w:val="22"/>
                <w:szCs w:val="22"/>
                <w:lang w:val="hr-HR" w:eastAsia="hr-HR"/>
              </w:rPr>
              <w:t>0</w:t>
            </w:r>
          </w:p>
        </w:tc>
        <w:tc>
          <w:tcPr>
            <w:tcW w:w="1600" w:type="dxa"/>
            <w:tcBorders>
              <w:top w:val="nil"/>
              <w:left w:val="nil"/>
              <w:bottom w:val="single" w:sz="4" w:space="0" w:color="auto"/>
              <w:right w:val="nil"/>
            </w:tcBorders>
            <w:noWrap/>
            <w:vAlign w:val="center"/>
          </w:tcPr>
          <w:p w:rsidR="003E4626" w:rsidRPr="0047726D" w:rsidRDefault="003E4626" w:rsidP="0047726D">
            <w:pPr>
              <w:suppressAutoHyphens w:val="0"/>
              <w:jc w:val="right"/>
              <w:rPr>
                <w:rFonts w:ascii="Tele-GroteskEEHal" w:hAnsi="Tele-GroteskEEHal"/>
                <w:b/>
                <w:bCs/>
                <w:i/>
                <w:iCs/>
                <w:kern w:val="0"/>
                <w:lang w:val="hr-HR" w:eastAsia="hr-HR"/>
              </w:rPr>
            </w:pPr>
            <w:r w:rsidRPr="0047726D">
              <w:rPr>
                <w:rFonts w:ascii="Tele-GroteskEEHal" w:hAnsi="Tele-GroteskEEHal"/>
                <w:b/>
                <w:bCs/>
                <w:i/>
                <w:iCs/>
                <w:kern w:val="0"/>
                <w:sz w:val="22"/>
                <w:szCs w:val="22"/>
                <w:lang w:val="hr-HR" w:eastAsia="hr-HR"/>
              </w:rPr>
              <w:t>-</w:t>
            </w:r>
          </w:p>
        </w:tc>
      </w:tr>
      <w:tr w:rsidR="003E4626" w:rsidRPr="00960D6B" w:rsidTr="0047726D">
        <w:trPr>
          <w:trHeight w:val="345"/>
        </w:trPr>
        <w:tc>
          <w:tcPr>
            <w:tcW w:w="8647" w:type="dxa"/>
            <w:gridSpan w:val="5"/>
            <w:tcBorders>
              <w:top w:val="nil"/>
              <w:left w:val="nil"/>
              <w:bottom w:val="nil"/>
              <w:right w:val="nil"/>
            </w:tcBorders>
            <w:noWrap/>
            <w:vAlign w:val="center"/>
          </w:tcPr>
          <w:p w:rsidR="003E4626" w:rsidRPr="00960D6B" w:rsidRDefault="003E4626" w:rsidP="00A3587A">
            <w:pPr>
              <w:suppressAutoHyphens w:val="0"/>
              <w:rPr>
                <w:rFonts w:ascii="Tele-GroteskEEHal" w:hAnsi="Tele-GroteskEEHal"/>
                <w:color w:val="000000"/>
                <w:kern w:val="0"/>
                <w:sz w:val="20"/>
                <w:szCs w:val="20"/>
                <w:lang w:val="hr-HR" w:eastAsia="hr-HR"/>
              </w:rPr>
            </w:pPr>
            <w:r w:rsidRPr="00960D6B">
              <w:rPr>
                <w:rFonts w:ascii="Tele-GroteskEEHal" w:hAnsi="Tele-GroteskEEHal"/>
                <w:color w:val="000000"/>
                <w:kern w:val="0"/>
                <w:sz w:val="20"/>
                <w:szCs w:val="20"/>
                <w:lang w:val="hr-HR" w:eastAsia="hr-HR"/>
              </w:rPr>
              <w:t xml:space="preserve">1) Uključujući POTS+FGSM+ ISDN+telefonske govornice </w:t>
            </w:r>
            <w:r w:rsidRPr="00960D6B">
              <w:rPr>
                <w:rFonts w:ascii="Tele-GroteskEEHal" w:hAnsi="Tele-GroteskEEHal"/>
                <w:vanish/>
                <w:color w:val="000000"/>
                <w:kern w:val="0"/>
                <w:sz w:val="20"/>
                <w:szCs w:val="20"/>
                <w:lang w:val="hr-HR" w:eastAsia="hr-HR"/>
              </w:rPr>
              <w:br/>
              <w:t>N</w:t>
            </w:r>
            <w:r w:rsidRPr="00960D6B">
              <w:rPr>
                <w:rFonts w:ascii="Tele-GroteskEEHal" w:hAnsi="Tele-GroteskEEHal"/>
                <w:vanish/>
                <w:color w:val="000000"/>
                <w:kern w:val="0"/>
                <w:sz w:val="20"/>
                <w:szCs w:val="20"/>
                <w:lang w:val="hr-HR" w:eastAsia="hr-HR"/>
              </w:rPr>
              <w:br w:type="page"/>
              <w:t>_al</w:t>
            </w:r>
            <w:r w:rsidRPr="00960D6B">
              <w:rPr>
                <w:rFonts w:ascii="Tele-GroteskEEHal" w:hAnsi="Tele-GroteskEEHal"/>
                <w:vanish/>
                <w:color w:val="000000"/>
                <w:kern w:val="0"/>
                <w:sz w:val="20"/>
                <w:szCs w:val="20"/>
                <w:lang w:val="hr-HR" w:eastAsia="hr-HR"/>
              </w:rPr>
              <w:br/>
            </w:r>
            <w:r w:rsidRPr="00960D6B">
              <w:rPr>
                <w:rFonts w:ascii="Tele-GroteskEEHal" w:hAnsi="Tele-GroteskEEHal" w:cs="Tele-GroteskEEHal"/>
                <w:vanish/>
                <w:color w:val="000000"/>
                <w:kern w:val="0"/>
                <w:sz w:val="20"/>
                <w:szCs w:val="20"/>
                <w:lang w:val="hr-HR" w:eastAsia="hr-HR"/>
              </w:rPr>
              <w:t>ᴀ__</w:t>
            </w:r>
            <w:r w:rsidRPr="00960D6B">
              <w:rPr>
                <w:rFonts w:ascii="Tele-GroteskEEHal" w:hAnsi="Tele-GroteskEEHal"/>
                <w:vanish/>
                <w:color w:val="000000"/>
                <w:kern w:val="0"/>
                <w:sz w:val="20"/>
                <w:szCs w:val="20"/>
                <w:lang w:val="hr-HR" w:eastAsia="hr-HR"/>
              </w:rPr>
              <w:t xml:space="preserve">_% of change </w:t>
            </w:r>
            <w:r w:rsidRPr="00960D6B">
              <w:rPr>
                <w:rFonts w:ascii="Tele-GroteskEEHal" w:hAnsi="Tele-GroteskEEHal"/>
                <w:vanish/>
                <w:color w:val="000000"/>
                <w:kern w:val="0"/>
                <w:sz w:val="20"/>
                <w:szCs w:val="20"/>
                <w:lang w:val="hr-HR" w:eastAsia="hr-HR"/>
              </w:rPr>
              <w:br/>
              <w:t>11/10_</w:t>
            </w:r>
            <w:r w:rsidRPr="00960D6B">
              <w:rPr>
                <w:rFonts w:ascii="Tahoma" w:hAnsi="Tahoma" w:cs="Tahoma"/>
                <w:vanish/>
                <w:color w:val="000000"/>
                <w:kern w:val="0"/>
                <w:sz w:val="20"/>
                <w:szCs w:val="20"/>
                <w:lang w:val="hr-HR" w:eastAsia="hr-HR"/>
              </w:rPr>
              <w:t>Ḁ</w:t>
            </w:r>
            <w:r w:rsidRPr="00960D6B">
              <w:rPr>
                <w:rFonts w:ascii="Tele-GroteskEEHal" w:hAnsi="Tele-GroteskEEHal" w:cs="Tele-GroteskEEHal"/>
                <w:vanish/>
                <w:color w:val="000000"/>
                <w:kern w:val="0"/>
                <w:sz w:val="20"/>
                <w:szCs w:val="20"/>
                <w:lang w:val="hr-HR" w:eastAsia="hr-HR"/>
              </w:rPr>
              <w:br w:type="page"/>
              <w:t>_</w:t>
            </w:r>
            <w:r w:rsidRPr="00960D6B">
              <w:rPr>
                <w:rFonts w:ascii="Tele-GroteskEEHal" w:hAnsi="Tele-GroteskEEHal"/>
                <w:vanish/>
                <w:color w:val="000000"/>
                <w:kern w:val="0"/>
                <w:sz w:val="20"/>
                <w:szCs w:val="20"/>
                <w:lang w:val="hr-HR" w:eastAsia="hr-HR"/>
              </w:rPr>
              <w:br w:type="page"/>
              <w:t>Total assets_</w:t>
            </w:r>
            <w:r w:rsidRPr="00960D6B">
              <w:rPr>
                <w:rFonts w:ascii="Tahoma" w:hAnsi="Tahoma" w:cs="Tahoma"/>
                <w:vanish/>
                <w:color w:val="000000"/>
                <w:kern w:val="0"/>
                <w:sz w:val="20"/>
                <w:szCs w:val="20"/>
                <w:lang w:val="hr-HR" w:eastAsia="hr-HR"/>
              </w:rPr>
              <w:t>ἀ</w:t>
            </w:r>
            <w:r w:rsidRPr="00960D6B">
              <w:rPr>
                <w:rFonts w:ascii="Tele-GroteskEEHal" w:hAnsi="Tele-GroteskEEHal" w:cs="Tele-GroteskEEHal"/>
                <w:vanish/>
                <w:color w:val="000000"/>
                <w:kern w:val="0"/>
                <w:sz w:val="20"/>
                <w:szCs w:val="20"/>
                <w:lang w:val="hr-HR" w:eastAsia="hr-HR"/>
              </w:rPr>
              <w:t>__</w:t>
            </w:r>
            <w:r w:rsidRPr="00960D6B">
              <w:rPr>
                <w:rFonts w:ascii="Tele-GroteskEEHal" w:hAnsi="Tele-GroteskEEHal"/>
                <w:vanish/>
                <w:color w:val="000000"/>
                <w:kern w:val="0"/>
                <w:sz w:val="20"/>
                <w:szCs w:val="20"/>
                <w:lang w:val="hr-HR" w:eastAsia="hr-HR"/>
              </w:rPr>
              <w:t>_Cash and</w:t>
            </w:r>
          </w:p>
        </w:tc>
      </w:tr>
      <w:tr w:rsidR="003E4626" w:rsidRPr="00960D6B" w:rsidTr="0047726D">
        <w:trPr>
          <w:trHeight w:val="345"/>
        </w:trPr>
        <w:tc>
          <w:tcPr>
            <w:tcW w:w="8647" w:type="dxa"/>
            <w:gridSpan w:val="5"/>
            <w:tcBorders>
              <w:top w:val="nil"/>
              <w:left w:val="nil"/>
              <w:bottom w:val="nil"/>
              <w:right w:val="nil"/>
            </w:tcBorders>
            <w:noWrap/>
            <w:vAlign w:val="center"/>
          </w:tcPr>
          <w:p w:rsidR="003E4626" w:rsidRPr="00960D6B" w:rsidRDefault="003E4626" w:rsidP="00453819">
            <w:pPr>
              <w:suppressAutoHyphens w:val="0"/>
              <w:rPr>
                <w:rFonts w:ascii="Tele-GroteskEEHal" w:hAnsi="Tele-GroteskEEHal"/>
                <w:color w:val="000000"/>
                <w:kern w:val="0"/>
                <w:sz w:val="20"/>
                <w:szCs w:val="20"/>
                <w:lang w:val="hr-HR" w:eastAsia="hr-HR"/>
              </w:rPr>
            </w:pPr>
            <w:r w:rsidRPr="00960D6B">
              <w:rPr>
                <w:rFonts w:ascii="Tele-GroteskEEHal" w:hAnsi="Tele-GroteskEEHal"/>
                <w:color w:val="000000"/>
                <w:kern w:val="0"/>
                <w:sz w:val="20"/>
                <w:szCs w:val="20"/>
                <w:vertAlign w:val="superscript"/>
                <w:lang w:val="hr-HR" w:eastAsia="hr-HR"/>
              </w:rPr>
              <w:t xml:space="preserve">2) </w:t>
            </w:r>
            <w:r w:rsidRPr="00960D6B">
              <w:rPr>
                <w:rFonts w:ascii="Tele-GroteskEEHal" w:hAnsi="Tele-GroteskEEHal"/>
                <w:color w:val="000000"/>
                <w:kern w:val="0"/>
                <w:sz w:val="20"/>
                <w:szCs w:val="20"/>
                <w:lang w:val="hr-HR" w:eastAsia="hr-HR"/>
              </w:rPr>
              <w:t>Na dan 1. srpnja T-HT je objavio novu ponudu najma korisničke linije (WLR) sukladno HAKOM-ovoj regulaciji.</w:t>
            </w:r>
          </w:p>
        </w:tc>
      </w:tr>
    </w:tbl>
    <w:p w:rsidR="003E4626" w:rsidRPr="00960D6B" w:rsidRDefault="003E4626" w:rsidP="00B20615">
      <w:pPr>
        <w:contextualSpacing/>
        <w:jc w:val="both"/>
        <w:rPr>
          <w:rFonts w:ascii="Tele-GroteskEEHal" w:hAnsi="Tele-GroteskEEHal"/>
          <w:sz w:val="22"/>
          <w:szCs w:val="22"/>
          <w:lang w:val="hr-HR"/>
        </w:rPr>
      </w:pPr>
      <w:r w:rsidRPr="00960D6B">
        <w:rPr>
          <w:rFonts w:ascii="Tele-GroteskEEHal" w:hAnsi="Tele-GroteskEEHal"/>
          <w:sz w:val="22"/>
          <w:szCs w:val="22"/>
          <w:lang w:val="hr-HR"/>
        </w:rPr>
        <w:t>Na kraju rujna 2011. broj poslovnih korisnika pokretne telefonije povećao se za 5,6% zahvaljujući marketinškim akcijama za stjecanje i zadržavanje korisnika pokretnih komunikacija na početku godine i novim tarifama uvedenim u ožujku i prilagođenim različitim potrebama korisnika: na primjer, korisnicima koji povremeno koriste internet kao i onima koji ga koriste intenzivno. T-HT je također uveo tarife koje su bilo posebno usmjerene na male i srednje poduzetnike.</w:t>
      </w:r>
    </w:p>
    <w:p w:rsidR="003E4626" w:rsidRPr="00960D6B" w:rsidRDefault="003E4626" w:rsidP="005121E3">
      <w:pPr>
        <w:contextualSpacing/>
        <w:jc w:val="both"/>
        <w:rPr>
          <w:rFonts w:ascii="Tele-GroteskEEHal" w:hAnsi="Tele-GroteskEEHal"/>
          <w:color w:val="000000"/>
          <w:sz w:val="22"/>
          <w:lang w:val="hr-HR"/>
        </w:rPr>
      </w:pPr>
    </w:p>
    <w:p w:rsidR="003E4626" w:rsidRPr="00960D6B" w:rsidRDefault="003E4626" w:rsidP="002B3143">
      <w:pPr>
        <w:jc w:val="both"/>
        <w:rPr>
          <w:rFonts w:ascii="Tele-GroteskEEHal" w:hAnsi="Tele-GroteskEEHal"/>
          <w:color w:val="000000"/>
          <w:sz w:val="22"/>
          <w:szCs w:val="22"/>
          <w:lang w:val="hr-HR"/>
        </w:rPr>
      </w:pPr>
      <w:r w:rsidRPr="00960D6B">
        <w:rPr>
          <w:rFonts w:ascii="Tele-GroteskEEHal" w:hAnsi="Tele-GroteskEEHal"/>
          <w:color w:val="000000"/>
          <w:sz w:val="22"/>
          <w:szCs w:val="22"/>
          <w:lang w:val="hr-HR"/>
        </w:rPr>
        <w:t>Broj minuta po pretplatniku smanjio se za 4,2%, međutim ARPA se smanjila za 9,6% pod utjecajem gospodarskog pada.</w:t>
      </w:r>
    </w:p>
    <w:p w:rsidR="003E4626" w:rsidRPr="00960D6B" w:rsidRDefault="003E4626" w:rsidP="005121E3">
      <w:pPr>
        <w:contextualSpacing/>
        <w:jc w:val="both"/>
        <w:rPr>
          <w:rFonts w:ascii="Tele-GroteskEEHal" w:hAnsi="Tele-GroteskEEHal"/>
          <w:color w:val="000000"/>
          <w:sz w:val="22"/>
          <w:lang w:val="hr-HR"/>
        </w:rPr>
      </w:pPr>
    </w:p>
    <w:p w:rsidR="003E4626" w:rsidRPr="00960D6B" w:rsidRDefault="003E4626" w:rsidP="002B3143">
      <w:pPr>
        <w:contextualSpacing/>
        <w:jc w:val="both"/>
        <w:rPr>
          <w:rFonts w:ascii="Tele-GroteskEEHal" w:hAnsi="Tele-GroteskEEHal"/>
          <w:color w:val="000000"/>
          <w:sz w:val="22"/>
          <w:lang w:val="hr-HR"/>
        </w:rPr>
      </w:pPr>
      <w:r w:rsidRPr="00960D6B">
        <w:rPr>
          <w:rFonts w:ascii="Tele-GroteskEEHal" w:hAnsi="Tele-GroteskEEHal"/>
          <w:color w:val="000000"/>
          <w:sz w:val="22"/>
          <w:lang w:val="hr-HR"/>
        </w:rPr>
        <w:t>U devet mjeseci do 30. rujna broj korisničkih priključaka u nepokretnoj mreži smanjio se za 9,2% na 19</w:t>
      </w:r>
      <w:r>
        <w:rPr>
          <w:rFonts w:ascii="Tele-GroteskEEHal" w:hAnsi="Tele-GroteskEEHal"/>
          <w:color w:val="000000"/>
          <w:sz w:val="22"/>
          <w:lang w:val="hr-HR"/>
        </w:rPr>
        <w:t>8.622</w:t>
      </w:r>
      <w:r w:rsidRPr="00960D6B">
        <w:rPr>
          <w:rFonts w:ascii="Tele-GroteskEEHal" w:hAnsi="Tele-GroteskEEHal"/>
          <w:color w:val="000000"/>
          <w:sz w:val="22"/>
          <w:lang w:val="hr-HR"/>
        </w:rPr>
        <w:t xml:space="preserve"> u odnosu na prošlu godinu. Navedeni je pad u skladu sa širim trendom zamjene nepokretne telefonije pokretnom i IP-om na telekomunikacijskom tržištu.</w:t>
      </w:r>
    </w:p>
    <w:p w:rsidR="003E4626" w:rsidRPr="00960D6B" w:rsidRDefault="003E4626" w:rsidP="00DA22A2">
      <w:pPr>
        <w:contextualSpacing/>
        <w:jc w:val="both"/>
        <w:rPr>
          <w:rFonts w:ascii="Tele-GroteskEEHal" w:hAnsi="Tele-GroteskEEHal"/>
          <w:sz w:val="22"/>
          <w:szCs w:val="22"/>
          <w:lang w:val="hr-HR"/>
        </w:rPr>
      </w:pPr>
    </w:p>
    <w:p w:rsidR="003E4626" w:rsidRPr="00960D6B" w:rsidRDefault="003E4626" w:rsidP="002B3143">
      <w:pPr>
        <w:jc w:val="both"/>
        <w:rPr>
          <w:rFonts w:ascii="Tele-GroteskEEHal" w:hAnsi="Tele-GroteskEEHal"/>
          <w:color w:val="000000"/>
          <w:sz w:val="22"/>
          <w:szCs w:val="22"/>
          <w:lang w:val="hr-HR"/>
        </w:rPr>
      </w:pPr>
      <w:r w:rsidRPr="00960D6B">
        <w:rPr>
          <w:rFonts w:ascii="Tele-GroteskEEHal" w:hAnsi="Tele-GroteskEEHal"/>
          <w:color w:val="000000"/>
          <w:sz w:val="22"/>
          <w:szCs w:val="22"/>
          <w:lang w:val="hr-HR"/>
        </w:rPr>
        <w:t xml:space="preserve">Ukupan broj minuta koji su ostvarili poslovni korisnici nepokretne telefonije smanjio se za 17,7% na 538 milijuna u devet mjeseci do 30. rujna 2011. u odnosu na isto razdoblje prošle godine. </w:t>
      </w:r>
      <w:r w:rsidRPr="00960D6B">
        <w:rPr>
          <w:rFonts w:ascii="Tele-GroteskEEHal" w:hAnsi="Tele-GroteskEEHal"/>
          <w:color w:val="000000"/>
          <w:sz w:val="22"/>
          <w:lang w:val="hr-HR"/>
        </w:rPr>
        <w:t xml:space="preserve">ARPA za govorne usluge u nepokretnoj mreži smanjila se za 11,0% na </w:t>
      </w:r>
      <w:r w:rsidRPr="00960D6B">
        <w:rPr>
          <w:rFonts w:ascii="Tele-GroteskEEHal" w:hAnsi="Tele-GroteskEEHal"/>
          <w:color w:val="000000"/>
          <w:sz w:val="22"/>
          <w:szCs w:val="22"/>
          <w:lang w:val="hr-HR"/>
        </w:rPr>
        <w:t>238 kuna u odnosu na prošlu godinu, kao rezultat manje uporabe.</w:t>
      </w:r>
    </w:p>
    <w:p w:rsidR="003E4626" w:rsidRPr="00960D6B" w:rsidRDefault="003E4626" w:rsidP="00DA22A2">
      <w:pPr>
        <w:jc w:val="both"/>
        <w:rPr>
          <w:rFonts w:ascii="Tele-GroteskEEHal" w:hAnsi="Tele-GroteskEEHal"/>
          <w:color w:val="000000"/>
          <w:sz w:val="22"/>
          <w:szCs w:val="22"/>
          <w:lang w:val="hr-HR"/>
        </w:rPr>
      </w:pPr>
    </w:p>
    <w:p w:rsidR="003E4626" w:rsidRPr="00960D6B" w:rsidRDefault="003E4626" w:rsidP="002B3143">
      <w:pPr>
        <w:jc w:val="both"/>
        <w:rPr>
          <w:rFonts w:ascii="Tele-GroteskEEHal" w:hAnsi="Tele-GroteskEEHal"/>
          <w:sz w:val="22"/>
          <w:lang w:val="hr-HR"/>
        </w:rPr>
      </w:pPr>
      <w:r w:rsidRPr="00960D6B">
        <w:rPr>
          <w:rFonts w:ascii="Tele-GroteskEEHal" w:hAnsi="Tele-GroteskEEHal"/>
          <w:sz w:val="22"/>
          <w:lang w:val="hr-HR"/>
        </w:rPr>
        <w:t>Baza ADSL pretplatnika bilježi stalni rast kao rezultat atraktivnih ponuda za zadržavanje i stjecanje korisnika. U razdoblju od devet mjeseci broj ADSL priključaka povećao se za 6,0% na 109.</w:t>
      </w:r>
      <w:r>
        <w:rPr>
          <w:rFonts w:ascii="Tele-GroteskEEHal" w:hAnsi="Tele-GroteskEEHal"/>
          <w:sz w:val="22"/>
          <w:lang w:val="hr-HR"/>
        </w:rPr>
        <w:t>342</w:t>
      </w:r>
      <w:r w:rsidRPr="00960D6B">
        <w:rPr>
          <w:rFonts w:ascii="Tele-GroteskEEHal" w:hAnsi="Tele-GroteskEEHal"/>
          <w:sz w:val="22"/>
          <w:lang w:val="hr-HR"/>
        </w:rPr>
        <w:t xml:space="preserve"> u odnosu na prošlu godinu, dok se ARPA za ADSL smanjila za 3,9% na 133 kune. </w:t>
      </w:r>
    </w:p>
    <w:p w:rsidR="003E4626" w:rsidRPr="00960D6B" w:rsidRDefault="003E4626" w:rsidP="00DA22A2">
      <w:pPr>
        <w:jc w:val="both"/>
        <w:rPr>
          <w:rFonts w:ascii="Tele-GroteskEEHal" w:hAnsi="Tele-GroteskEEHal"/>
          <w:sz w:val="22"/>
          <w:lang w:val="hr-HR"/>
        </w:rPr>
      </w:pPr>
    </w:p>
    <w:p w:rsidR="003E4626" w:rsidRPr="00960D6B" w:rsidRDefault="003E4626" w:rsidP="00527DBF">
      <w:pPr>
        <w:jc w:val="both"/>
        <w:rPr>
          <w:rFonts w:ascii="Tele-GroteskEEHal" w:hAnsi="Tele-GroteskEEHal"/>
          <w:sz w:val="22"/>
          <w:lang w:val="hr-HR"/>
        </w:rPr>
      </w:pPr>
      <w:r w:rsidRPr="00960D6B">
        <w:rPr>
          <w:rFonts w:ascii="Tele-GroteskEEHal" w:hAnsi="Tele-GroteskEEHal"/>
          <w:sz w:val="22"/>
          <w:lang w:val="hr-HR"/>
        </w:rPr>
        <w:t>Broj pretplatnika televizijskih usluga povećao se za 17,0% na 1</w:t>
      </w:r>
      <w:r>
        <w:rPr>
          <w:rFonts w:ascii="Tele-GroteskEEHal" w:hAnsi="Tele-GroteskEEHal"/>
          <w:sz w:val="22"/>
          <w:lang w:val="hr-HR"/>
        </w:rPr>
        <w:t>8.919</w:t>
      </w:r>
      <w:r w:rsidRPr="00960D6B">
        <w:rPr>
          <w:rFonts w:ascii="Tele-GroteskEEHal" w:hAnsi="Tele-GroteskEEHal"/>
          <w:sz w:val="22"/>
          <w:lang w:val="hr-HR"/>
        </w:rPr>
        <w:t xml:space="preserve"> u odnosu na prošlu godinu, kao rezultat stalnih poboljšanja usluge i ponuda paketa programa kako novim tako i postojećim pretplatnicima. Grupa je u ožujku pokrenula TV usluga za hotele.</w:t>
      </w:r>
    </w:p>
    <w:p w:rsidR="003E4626" w:rsidRPr="00960D6B" w:rsidRDefault="003E4626" w:rsidP="00DA22A2">
      <w:pPr>
        <w:jc w:val="both"/>
        <w:rPr>
          <w:rFonts w:ascii="Tele-GroteskEEHal" w:hAnsi="Tele-GroteskEEHal"/>
          <w:sz w:val="22"/>
          <w:lang w:val="hr-HR"/>
        </w:rPr>
      </w:pPr>
    </w:p>
    <w:p w:rsidR="003E4626" w:rsidRPr="00960D6B" w:rsidRDefault="003E4626" w:rsidP="00527DBF">
      <w:pPr>
        <w:jc w:val="both"/>
        <w:rPr>
          <w:rFonts w:ascii="Tele-GroteskEEHal" w:hAnsi="Tele-GroteskEEHal"/>
          <w:sz w:val="22"/>
          <w:lang w:val="hr-HR"/>
        </w:rPr>
      </w:pPr>
      <w:r w:rsidRPr="00960D6B">
        <w:rPr>
          <w:rFonts w:ascii="Tele-GroteskEEHal" w:hAnsi="Tele-GroteskEEHal"/>
          <w:sz w:val="22"/>
          <w:lang w:val="hr-HR"/>
        </w:rPr>
        <w:t>Baza korisnika VPN-a povećala se za 8,5%. T-HT stalno promovira prelazak postojećih korisnika tradicionalnih podatkovnih usluga na proizvode temeljene na IP-u.</w:t>
      </w:r>
    </w:p>
    <w:p w:rsidR="003E4626" w:rsidRPr="00960D6B" w:rsidRDefault="003E4626" w:rsidP="00527DBF">
      <w:pPr>
        <w:jc w:val="both"/>
        <w:rPr>
          <w:rFonts w:ascii="Tele-GroteskEEHal" w:hAnsi="Tele-GroteskEEHal"/>
          <w:sz w:val="22"/>
          <w:lang w:val="hr-HR"/>
        </w:rPr>
      </w:pPr>
    </w:p>
    <w:p w:rsidR="003E4626" w:rsidRPr="00960D6B" w:rsidRDefault="003E4626" w:rsidP="00527DBF">
      <w:pPr>
        <w:jc w:val="both"/>
        <w:rPr>
          <w:rFonts w:ascii="Tele-GroteskEEHal" w:hAnsi="Tele-GroteskEEHal"/>
          <w:color w:val="000000"/>
          <w:sz w:val="22"/>
          <w:szCs w:val="22"/>
          <w:lang w:val="hr-HR"/>
        </w:rPr>
      </w:pPr>
      <w:r w:rsidRPr="00960D6B">
        <w:rPr>
          <w:rFonts w:ascii="Tele-GroteskEEHal" w:hAnsi="Tele-GroteskEEHal"/>
          <w:color w:val="000000"/>
          <w:sz w:val="22"/>
          <w:szCs w:val="22"/>
          <w:lang w:val="hr-HR"/>
        </w:rPr>
        <w:t>Broj podatkovnih linija smanjio se za 7,2% u devet mjeseci do 30. rujna 2011. u odnosu na prošlu godinu. Dok se b</w:t>
      </w:r>
      <w:r w:rsidRPr="00960D6B">
        <w:rPr>
          <w:rFonts w:ascii="Tele-GroteskEEHal" w:hAnsi="Tele-GroteskEEHal"/>
          <w:sz w:val="22"/>
          <w:lang w:val="hr-HR"/>
        </w:rPr>
        <w:t>roj tradicionalnih podatkovnih linija smanjuje, nove usluge Metro Ethernet i dalje su u porastu</w:t>
      </w:r>
      <w:r w:rsidRPr="00960D6B">
        <w:rPr>
          <w:rFonts w:ascii="Tele-GroteskEEHal" w:hAnsi="Tele-GroteskEEHal"/>
          <w:color w:val="000000"/>
          <w:sz w:val="22"/>
          <w:szCs w:val="22"/>
          <w:lang w:val="hr-HR"/>
        </w:rPr>
        <w:t xml:space="preserve">. </w:t>
      </w:r>
    </w:p>
    <w:p w:rsidR="003E4626" w:rsidRPr="00960D6B" w:rsidRDefault="003E4626" w:rsidP="00DA22A2">
      <w:pPr>
        <w:jc w:val="both"/>
        <w:rPr>
          <w:rFonts w:ascii="Tele-GroteskEEHal" w:hAnsi="Tele-GroteskEEHal"/>
          <w:sz w:val="22"/>
          <w:lang w:val="hr-HR"/>
        </w:rPr>
      </w:pPr>
    </w:p>
    <w:p w:rsidR="003E4626" w:rsidRPr="00960D6B" w:rsidRDefault="003E4626" w:rsidP="00527DBF">
      <w:pPr>
        <w:jc w:val="both"/>
        <w:rPr>
          <w:rFonts w:ascii="Tele-GroteskEEHal" w:hAnsi="Tele-GroteskEEHal"/>
          <w:color w:val="000000"/>
          <w:sz w:val="22"/>
          <w:szCs w:val="22"/>
          <w:lang w:val="hr-HR"/>
        </w:rPr>
      </w:pPr>
      <w:r w:rsidRPr="00960D6B">
        <w:rPr>
          <w:rFonts w:ascii="Tele-GroteskEEHal" w:hAnsi="Tele-GroteskEEHal"/>
          <w:color w:val="000000"/>
          <w:sz w:val="22"/>
          <w:szCs w:val="22"/>
          <w:lang w:val="hr-HR"/>
        </w:rPr>
        <w:t>U trećem tromjesečju 2011. tportal.hr zauzeo je drugo mjesto među web portalima u Hrvatskoj po dosegu, s više od 800.000 pojedinačnih posjetitelja mjesečno prema Gemiusu, nezavisnoj agenciji za istraživanje internetskog prometa.</w:t>
      </w:r>
    </w:p>
    <w:p w:rsidR="003E4626" w:rsidRPr="00960D6B" w:rsidRDefault="003E4626" w:rsidP="00527DBF">
      <w:pPr>
        <w:jc w:val="both"/>
        <w:rPr>
          <w:rFonts w:ascii="Tele-GroteskEEHal" w:hAnsi="Tele-GroteskEEHal"/>
          <w:b/>
          <w:lang w:val="hr-HR"/>
        </w:rPr>
      </w:pPr>
    </w:p>
    <w:p w:rsidR="003E4626" w:rsidRPr="00960D6B" w:rsidRDefault="003E4626" w:rsidP="00527DBF">
      <w:pPr>
        <w:jc w:val="both"/>
        <w:rPr>
          <w:rFonts w:ascii="Tele-GroteskEEHal" w:hAnsi="Tele-GroteskEEHal"/>
          <w:sz w:val="22"/>
          <w:szCs w:val="22"/>
          <w:lang w:val="hr-HR"/>
        </w:rPr>
      </w:pPr>
      <w:r w:rsidRPr="00960D6B">
        <w:rPr>
          <w:rFonts w:ascii="Tele-GroteskEEHal" w:hAnsi="Tele-GroteskEEHal"/>
          <w:sz w:val="22"/>
          <w:szCs w:val="22"/>
          <w:lang w:val="hr-HR"/>
        </w:rPr>
        <w:t>Nastavlja se konsolidacija hrvatskoga telekomunikacijskog tržišta. Najvažnije novo kretanje je VIPnetova akvizicija kabelskog operatora B.Neta. Ovaj će potez intenzivirati natjecanje na nacionalnom veleprodajnom i maloprodajnom tržištu podatkovnih usluga.</w:t>
      </w:r>
    </w:p>
    <w:p w:rsidR="003E4626" w:rsidRPr="00960D6B" w:rsidRDefault="003E4626" w:rsidP="00527DBF">
      <w:pPr>
        <w:jc w:val="both"/>
        <w:rPr>
          <w:rFonts w:ascii="Tele-GroteskEEHal" w:hAnsi="Tele-GroteskEEHal"/>
          <w:sz w:val="22"/>
          <w:lang w:val="hr-HR"/>
        </w:rPr>
      </w:pPr>
    </w:p>
    <w:p w:rsidR="003E4626" w:rsidRPr="00960D6B" w:rsidRDefault="003E4626" w:rsidP="00527DBF">
      <w:pPr>
        <w:widowControl w:val="0"/>
        <w:jc w:val="both"/>
        <w:rPr>
          <w:rFonts w:ascii="Tele-GroteskEEHal" w:hAnsi="Tele-GroteskEEHal"/>
          <w:sz w:val="22"/>
          <w:szCs w:val="22"/>
          <w:lang w:val="hr-HR"/>
        </w:rPr>
      </w:pPr>
      <w:r w:rsidRPr="00960D6B">
        <w:rPr>
          <w:rFonts w:ascii="Tele-GroteskEEHal" w:hAnsi="Tele-GroteskEEHal"/>
          <w:sz w:val="22"/>
          <w:szCs w:val="22"/>
          <w:lang w:val="hr-HR"/>
        </w:rPr>
        <w:t>S obzirom na to da je Hrvatska u završnoj fazi pristupanja Europskoj uniji, operatori bazirani u EU vrše pritisak da se povećaju popusti za roaming na razine slične referentnim vrijednostima za EU.</w:t>
      </w:r>
    </w:p>
    <w:p w:rsidR="003E4626" w:rsidRDefault="003E4626" w:rsidP="00DA22A2">
      <w:pPr>
        <w:jc w:val="both"/>
        <w:rPr>
          <w:rFonts w:ascii="Tele-GroteskEEHal" w:hAnsi="Tele-GroteskEEHal"/>
          <w:color w:val="FF0000"/>
          <w:sz w:val="22"/>
          <w:szCs w:val="22"/>
          <w:lang w:val="hr-HR"/>
        </w:rPr>
      </w:pPr>
    </w:p>
    <w:p w:rsidR="003E4626" w:rsidRDefault="003E4626" w:rsidP="00DA22A2">
      <w:pPr>
        <w:jc w:val="both"/>
        <w:rPr>
          <w:rFonts w:ascii="Tele-GroteskEEHal" w:hAnsi="Tele-GroteskEEHal"/>
          <w:color w:val="FF0000"/>
          <w:sz w:val="22"/>
          <w:szCs w:val="22"/>
          <w:lang w:val="hr-HR"/>
        </w:rPr>
      </w:pPr>
    </w:p>
    <w:p w:rsidR="003E4626" w:rsidRDefault="003E4626" w:rsidP="00DA22A2">
      <w:pPr>
        <w:jc w:val="both"/>
        <w:rPr>
          <w:rFonts w:ascii="Tele-GroteskEEHal" w:hAnsi="Tele-GroteskEEHal"/>
          <w:color w:val="FF0000"/>
          <w:sz w:val="22"/>
          <w:szCs w:val="22"/>
          <w:lang w:val="hr-HR"/>
        </w:rPr>
      </w:pPr>
    </w:p>
    <w:p w:rsidR="003E4626" w:rsidRDefault="003E4626" w:rsidP="00DA22A2">
      <w:pPr>
        <w:jc w:val="both"/>
        <w:rPr>
          <w:rFonts w:ascii="Tele-GroteskEEHal" w:hAnsi="Tele-GroteskEEHal"/>
          <w:color w:val="FF0000"/>
          <w:sz w:val="22"/>
          <w:szCs w:val="22"/>
          <w:lang w:val="hr-HR"/>
        </w:rPr>
      </w:pPr>
    </w:p>
    <w:p w:rsidR="003E4626" w:rsidRPr="00960D6B" w:rsidRDefault="003E4626" w:rsidP="00DA22A2">
      <w:pPr>
        <w:jc w:val="both"/>
        <w:rPr>
          <w:rFonts w:ascii="Tele-GroteskEEHal" w:hAnsi="Tele-GroteskEEHal"/>
          <w:color w:val="FF0000"/>
          <w:sz w:val="22"/>
          <w:szCs w:val="22"/>
          <w:lang w:val="hr-HR"/>
        </w:rPr>
      </w:pPr>
    </w:p>
    <w:p w:rsidR="003E4626" w:rsidRPr="00960D6B" w:rsidRDefault="003E4626" w:rsidP="00DA22A2">
      <w:pPr>
        <w:jc w:val="both"/>
        <w:rPr>
          <w:rFonts w:ascii="Tele-GroteskEEHal" w:hAnsi="Tele-GroteskEEHal"/>
          <w:color w:val="FF0000"/>
          <w:sz w:val="22"/>
          <w:szCs w:val="22"/>
          <w:lang w:val="hr-HR"/>
        </w:rPr>
      </w:pPr>
    </w:p>
    <w:p w:rsidR="003E4626" w:rsidRPr="00960D6B" w:rsidRDefault="003E4626" w:rsidP="00DA22A2">
      <w:pPr>
        <w:jc w:val="both"/>
        <w:rPr>
          <w:rFonts w:ascii="Tele-GroteskEEHal" w:hAnsi="Tele-GroteskEEHal"/>
          <w:color w:val="FF0000"/>
          <w:sz w:val="22"/>
          <w:szCs w:val="22"/>
          <w:lang w:val="hr-HR"/>
        </w:rPr>
      </w:pPr>
    </w:p>
    <w:p w:rsidR="003E4626" w:rsidRDefault="003E4626" w:rsidP="00634AC7">
      <w:pPr>
        <w:jc w:val="both"/>
        <w:rPr>
          <w:rFonts w:ascii="Tele-GroteskEEHal" w:hAnsi="Tele-GroteskEEHal" w:cs="Tahoma"/>
          <w:b/>
          <w:sz w:val="22"/>
          <w:szCs w:val="22"/>
          <w:lang w:val="hr-HR"/>
        </w:rPr>
      </w:pPr>
      <w:r w:rsidRPr="00960D6B">
        <w:rPr>
          <w:rFonts w:ascii="Tele-GroteskEEHal" w:hAnsi="Tele-GroteskEEHal" w:cs="Tahoma"/>
          <w:b/>
          <w:sz w:val="22"/>
          <w:szCs w:val="22"/>
          <w:lang w:val="hr-HR"/>
        </w:rPr>
        <w:t>Financijski rezultati Segmenta poslovnih korisnika</w:t>
      </w:r>
    </w:p>
    <w:p w:rsidR="003E4626" w:rsidRDefault="003E4626" w:rsidP="00634AC7">
      <w:pPr>
        <w:jc w:val="both"/>
        <w:rPr>
          <w:rFonts w:ascii="Tele-GroteskEEHal" w:hAnsi="Tele-GroteskEEHal" w:cs="Tahoma"/>
          <w:b/>
          <w:sz w:val="22"/>
          <w:szCs w:val="22"/>
          <w:lang w:val="hr-HR"/>
        </w:rPr>
      </w:pPr>
    </w:p>
    <w:tbl>
      <w:tblPr>
        <w:tblW w:w="7820" w:type="dxa"/>
        <w:tblInd w:w="108" w:type="dxa"/>
        <w:tblLook w:val="0000"/>
      </w:tblPr>
      <w:tblGrid>
        <w:gridCol w:w="3696"/>
        <w:gridCol w:w="1294"/>
        <w:gridCol w:w="1275"/>
        <w:gridCol w:w="1555"/>
      </w:tblGrid>
      <w:tr w:rsidR="003E4626" w:rsidRPr="00494E6F" w:rsidTr="00494E6F">
        <w:trPr>
          <w:trHeight w:val="799"/>
        </w:trPr>
        <w:tc>
          <w:tcPr>
            <w:tcW w:w="3696" w:type="dxa"/>
            <w:tcBorders>
              <w:top w:val="single" w:sz="4" w:space="0" w:color="auto"/>
              <w:left w:val="nil"/>
              <w:bottom w:val="single" w:sz="4" w:space="0" w:color="auto"/>
              <w:right w:val="nil"/>
            </w:tcBorders>
            <w:shd w:val="clear" w:color="auto" w:fill="E20074"/>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u milijunima kuna</w:t>
            </w:r>
          </w:p>
        </w:tc>
        <w:tc>
          <w:tcPr>
            <w:tcW w:w="1294" w:type="dxa"/>
            <w:tcBorders>
              <w:top w:val="single" w:sz="4" w:space="0" w:color="auto"/>
              <w:left w:val="nil"/>
              <w:bottom w:val="single" w:sz="4" w:space="0" w:color="auto"/>
              <w:right w:val="nil"/>
            </w:tcBorders>
            <w:shd w:val="clear" w:color="auto" w:fill="E20074"/>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xml:space="preserve">Sij.-Ruj. </w:t>
            </w:r>
            <w:r w:rsidRPr="00494E6F">
              <w:rPr>
                <w:rFonts w:ascii="Tele-GroteskEEHal" w:hAnsi="Tele-GroteskEEHal"/>
                <w:b/>
                <w:bCs/>
                <w:color w:val="FFFFFF"/>
                <w:kern w:val="0"/>
                <w:sz w:val="22"/>
                <w:szCs w:val="22"/>
                <w:lang w:val="hr-HR" w:eastAsia="hr-HR"/>
              </w:rPr>
              <w:br/>
              <w:t>2011.</w:t>
            </w:r>
          </w:p>
        </w:tc>
        <w:tc>
          <w:tcPr>
            <w:tcW w:w="1275" w:type="dxa"/>
            <w:tcBorders>
              <w:top w:val="single" w:sz="4" w:space="0" w:color="auto"/>
              <w:left w:val="nil"/>
              <w:bottom w:val="single" w:sz="4" w:space="0" w:color="auto"/>
              <w:right w:val="nil"/>
            </w:tcBorders>
            <w:shd w:val="clear" w:color="auto" w:fill="E20074"/>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xml:space="preserve">Sij.-Ruj. </w:t>
            </w:r>
            <w:r w:rsidRPr="00494E6F">
              <w:rPr>
                <w:rFonts w:ascii="Tele-GroteskEEHal" w:hAnsi="Tele-GroteskEEHal"/>
                <w:b/>
                <w:bCs/>
                <w:color w:val="FFFFFF"/>
                <w:kern w:val="0"/>
                <w:sz w:val="22"/>
                <w:szCs w:val="22"/>
                <w:lang w:val="hr-HR" w:eastAsia="hr-HR"/>
              </w:rPr>
              <w:br/>
              <w:t>2010.</w:t>
            </w:r>
          </w:p>
        </w:tc>
        <w:tc>
          <w:tcPr>
            <w:tcW w:w="1555" w:type="dxa"/>
            <w:tcBorders>
              <w:top w:val="single" w:sz="4" w:space="0" w:color="auto"/>
              <w:left w:val="nil"/>
              <w:bottom w:val="single" w:sz="4" w:space="0" w:color="auto"/>
              <w:right w:val="nil"/>
            </w:tcBorders>
            <w:shd w:val="clear" w:color="auto" w:fill="E20074"/>
            <w:vAlign w:val="center"/>
          </w:tcPr>
          <w:p w:rsidR="003E4626" w:rsidRPr="00494E6F" w:rsidRDefault="003E4626" w:rsidP="00494E6F">
            <w:pPr>
              <w:suppressAutoHyphens w:val="0"/>
              <w:jc w:val="right"/>
              <w:rPr>
                <w:rFonts w:ascii="Tele-GroteskEEHal" w:hAnsi="Tele-GroteskEEHal"/>
                <w:b/>
                <w:bCs/>
                <w:i/>
                <w:iCs/>
                <w:color w:val="FFFFFF"/>
                <w:kern w:val="0"/>
                <w:lang w:val="hr-HR" w:eastAsia="hr-HR"/>
              </w:rPr>
            </w:pPr>
            <w:r w:rsidRPr="00494E6F">
              <w:rPr>
                <w:rFonts w:ascii="Tele-GroteskEEHal" w:hAnsi="Tele-GroteskEEHal"/>
                <w:b/>
                <w:bCs/>
                <w:i/>
                <w:iCs/>
                <w:color w:val="FFFFFF"/>
                <w:kern w:val="0"/>
                <w:sz w:val="22"/>
                <w:szCs w:val="22"/>
                <w:lang w:val="hr-HR" w:eastAsia="hr-HR"/>
              </w:rPr>
              <w:t xml:space="preserve">% promjene </w:t>
            </w:r>
            <w:r w:rsidRPr="00494E6F">
              <w:rPr>
                <w:rFonts w:ascii="Tele-GroteskEEHal" w:hAnsi="Tele-GroteskEEHal"/>
                <w:b/>
                <w:bCs/>
                <w:i/>
                <w:iCs/>
                <w:color w:val="FFFFFF"/>
                <w:kern w:val="0"/>
                <w:sz w:val="22"/>
                <w:szCs w:val="22"/>
                <w:lang w:val="hr-HR" w:eastAsia="hr-HR"/>
              </w:rPr>
              <w:br/>
              <w:t>11/10</w:t>
            </w:r>
          </w:p>
        </w:tc>
      </w:tr>
      <w:tr w:rsidR="003E4626" w:rsidRPr="00494E6F" w:rsidTr="00494E6F">
        <w:trPr>
          <w:trHeight w:val="342"/>
        </w:trPr>
        <w:tc>
          <w:tcPr>
            <w:tcW w:w="3696" w:type="dxa"/>
            <w:tcBorders>
              <w:top w:val="nil"/>
              <w:left w:val="nil"/>
              <w:bottom w:val="nil"/>
              <w:right w:val="nil"/>
            </w:tcBorders>
            <w:noWrap/>
            <w:vAlign w:val="center"/>
          </w:tcPr>
          <w:p w:rsidR="003E4626" w:rsidRPr="00494E6F" w:rsidRDefault="003E4626" w:rsidP="00494E6F">
            <w:pPr>
              <w:suppressAutoHyphens w:val="0"/>
              <w:rPr>
                <w:rFonts w:ascii="Tele-GroteskEEHal" w:hAnsi="Tele-GroteskEEHal"/>
                <w:kern w:val="0"/>
                <w:lang w:val="hr-HR" w:eastAsia="hr-HR"/>
              </w:rPr>
            </w:pPr>
            <w:r w:rsidRPr="00494E6F">
              <w:rPr>
                <w:rFonts w:ascii="Tele-GroteskEEHal" w:hAnsi="Tele-GroteskEEHal"/>
                <w:kern w:val="0"/>
                <w:sz w:val="22"/>
                <w:szCs w:val="22"/>
                <w:lang w:val="hr-HR" w:eastAsia="hr-HR"/>
              </w:rPr>
              <w:t>Prihodi od govornih usluga</w:t>
            </w:r>
          </w:p>
        </w:tc>
        <w:tc>
          <w:tcPr>
            <w:tcW w:w="1294"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1.383</w:t>
            </w:r>
          </w:p>
        </w:tc>
        <w:tc>
          <w:tcPr>
            <w:tcW w:w="127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1.565</w:t>
            </w:r>
          </w:p>
        </w:tc>
        <w:tc>
          <w:tcPr>
            <w:tcW w:w="155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i/>
                <w:iCs/>
                <w:kern w:val="0"/>
                <w:lang w:val="hr-HR" w:eastAsia="hr-HR"/>
              </w:rPr>
            </w:pPr>
            <w:r w:rsidRPr="00494E6F">
              <w:rPr>
                <w:rFonts w:ascii="Tele-GroteskEEHal" w:hAnsi="Tele-GroteskEEHal"/>
                <w:i/>
                <w:iCs/>
                <w:kern w:val="0"/>
                <w:sz w:val="22"/>
                <w:szCs w:val="22"/>
                <w:lang w:val="hr-HR" w:eastAsia="hr-HR"/>
              </w:rPr>
              <w:t>-11,6%</w:t>
            </w:r>
          </w:p>
        </w:tc>
      </w:tr>
      <w:tr w:rsidR="003E4626" w:rsidRPr="00494E6F" w:rsidTr="00494E6F">
        <w:trPr>
          <w:trHeight w:val="342"/>
        </w:trPr>
        <w:tc>
          <w:tcPr>
            <w:tcW w:w="3696" w:type="dxa"/>
            <w:tcBorders>
              <w:top w:val="nil"/>
              <w:left w:val="nil"/>
              <w:bottom w:val="nil"/>
              <w:right w:val="nil"/>
            </w:tcBorders>
            <w:noWrap/>
            <w:vAlign w:val="center"/>
          </w:tcPr>
          <w:p w:rsidR="003E4626" w:rsidRPr="00494E6F" w:rsidRDefault="003E4626" w:rsidP="00494E6F">
            <w:pPr>
              <w:suppressAutoHyphens w:val="0"/>
              <w:rPr>
                <w:rFonts w:ascii="Tele-GroteskEEHal" w:hAnsi="Tele-GroteskEEHal"/>
                <w:kern w:val="0"/>
                <w:lang w:val="hr-HR" w:eastAsia="hr-HR"/>
              </w:rPr>
            </w:pPr>
            <w:r w:rsidRPr="00494E6F">
              <w:rPr>
                <w:rFonts w:ascii="Tele-GroteskEEHal" w:hAnsi="Tele-GroteskEEHal"/>
                <w:kern w:val="0"/>
                <w:sz w:val="22"/>
                <w:szCs w:val="22"/>
                <w:lang w:val="hr-HR" w:eastAsia="hr-HR"/>
              </w:rPr>
              <w:t>Prihodi od negovornih usluga</w:t>
            </w:r>
          </w:p>
        </w:tc>
        <w:tc>
          <w:tcPr>
            <w:tcW w:w="1294"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829</w:t>
            </w:r>
          </w:p>
        </w:tc>
        <w:tc>
          <w:tcPr>
            <w:tcW w:w="127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876</w:t>
            </w:r>
          </w:p>
        </w:tc>
        <w:tc>
          <w:tcPr>
            <w:tcW w:w="155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i/>
                <w:iCs/>
                <w:kern w:val="0"/>
                <w:lang w:val="hr-HR" w:eastAsia="hr-HR"/>
              </w:rPr>
            </w:pPr>
            <w:r w:rsidRPr="00494E6F">
              <w:rPr>
                <w:rFonts w:ascii="Tele-GroteskEEHal" w:hAnsi="Tele-GroteskEEHal"/>
                <w:i/>
                <w:iCs/>
                <w:kern w:val="0"/>
                <w:sz w:val="22"/>
                <w:szCs w:val="22"/>
                <w:lang w:val="hr-HR" w:eastAsia="hr-HR"/>
              </w:rPr>
              <w:t>-5,4%</w:t>
            </w:r>
          </w:p>
        </w:tc>
      </w:tr>
      <w:tr w:rsidR="003E4626" w:rsidRPr="00494E6F" w:rsidTr="00494E6F">
        <w:trPr>
          <w:trHeight w:val="342"/>
        </w:trPr>
        <w:tc>
          <w:tcPr>
            <w:tcW w:w="3696" w:type="dxa"/>
            <w:tcBorders>
              <w:top w:val="nil"/>
              <w:left w:val="nil"/>
              <w:bottom w:val="nil"/>
              <w:right w:val="nil"/>
            </w:tcBorders>
            <w:noWrap/>
            <w:vAlign w:val="center"/>
          </w:tcPr>
          <w:p w:rsidR="003E4626" w:rsidRPr="00494E6F" w:rsidRDefault="003E4626" w:rsidP="00494E6F">
            <w:pPr>
              <w:suppressAutoHyphens w:val="0"/>
              <w:rPr>
                <w:rFonts w:ascii="Tele-GroteskEEHal" w:hAnsi="Tele-GroteskEEHal"/>
                <w:kern w:val="0"/>
                <w:lang w:val="hr-HR" w:eastAsia="hr-HR"/>
              </w:rPr>
            </w:pPr>
            <w:r w:rsidRPr="00494E6F">
              <w:rPr>
                <w:rFonts w:ascii="Tele-GroteskEEHal" w:hAnsi="Tele-GroteskEEHal"/>
                <w:kern w:val="0"/>
                <w:sz w:val="22"/>
                <w:szCs w:val="22"/>
                <w:lang w:val="hr-HR" w:eastAsia="hr-HR"/>
              </w:rPr>
              <w:t>Ostali prihodi od usluga</w:t>
            </w:r>
          </w:p>
        </w:tc>
        <w:tc>
          <w:tcPr>
            <w:tcW w:w="1294"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422</w:t>
            </w:r>
          </w:p>
        </w:tc>
        <w:tc>
          <w:tcPr>
            <w:tcW w:w="127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214</w:t>
            </w:r>
          </w:p>
        </w:tc>
        <w:tc>
          <w:tcPr>
            <w:tcW w:w="155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i/>
                <w:iCs/>
                <w:kern w:val="0"/>
                <w:lang w:val="hr-HR" w:eastAsia="hr-HR"/>
              </w:rPr>
            </w:pPr>
            <w:r w:rsidRPr="00494E6F">
              <w:rPr>
                <w:rFonts w:ascii="Tele-GroteskEEHal" w:hAnsi="Tele-GroteskEEHal"/>
                <w:i/>
                <w:iCs/>
                <w:kern w:val="0"/>
                <w:sz w:val="22"/>
                <w:szCs w:val="22"/>
                <w:lang w:val="hr-HR" w:eastAsia="hr-HR"/>
              </w:rPr>
              <w:t>96,8%</w:t>
            </w:r>
          </w:p>
        </w:tc>
      </w:tr>
      <w:tr w:rsidR="003E4626" w:rsidRPr="00494E6F" w:rsidTr="00494E6F">
        <w:trPr>
          <w:trHeight w:val="342"/>
        </w:trPr>
        <w:tc>
          <w:tcPr>
            <w:tcW w:w="3696" w:type="dxa"/>
            <w:tcBorders>
              <w:top w:val="nil"/>
              <w:left w:val="nil"/>
              <w:bottom w:val="nil"/>
              <w:right w:val="nil"/>
            </w:tcBorders>
            <w:noWrap/>
            <w:vAlign w:val="center"/>
          </w:tcPr>
          <w:p w:rsidR="003E4626" w:rsidRPr="00494E6F" w:rsidRDefault="003E4626" w:rsidP="00494E6F">
            <w:pPr>
              <w:suppressAutoHyphens w:val="0"/>
              <w:rPr>
                <w:rFonts w:ascii="Tele-GroteskEEHal" w:hAnsi="Tele-GroteskEEHal"/>
                <w:kern w:val="0"/>
                <w:lang w:val="hr-HR" w:eastAsia="hr-HR"/>
              </w:rPr>
            </w:pPr>
            <w:r w:rsidRPr="00494E6F">
              <w:rPr>
                <w:rFonts w:ascii="Tele-GroteskEEHal" w:hAnsi="Tele-GroteskEEHal"/>
                <w:kern w:val="0"/>
                <w:sz w:val="22"/>
                <w:szCs w:val="22"/>
                <w:lang w:val="hr-HR" w:eastAsia="hr-HR"/>
              </w:rPr>
              <w:t>Terminalna oprema</w:t>
            </w:r>
          </w:p>
        </w:tc>
        <w:tc>
          <w:tcPr>
            <w:tcW w:w="1294"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46</w:t>
            </w:r>
          </w:p>
        </w:tc>
        <w:tc>
          <w:tcPr>
            <w:tcW w:w="127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44</w:t>
            </w:r>
          </w:p>
        </w:tc>
        <w:tc>
          <w:tcPr>
            <w:tcW w:w="155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i/>
                <w:iCs/>
                <w:kern w:val="0"/>
                <w:lang w:val="hr-HR" w:eastAsia="hr-HR"/>
              </w:rPr>
            </w:pPr>
            <w:r w:rsidRPr="00494E6F">
              <w:rPr>
                <w:rFonts w:ascii="Tele-GroteskEEHal" w:hAnsi="Tele-GroteskEEHal"/>
                <w:i/>
                <w:iCs/>
                <w:kern w:val="0"/>
                <w:sz w:val="22"/>
                <w:szCs w:val="22"/>
                <w:lang w:val="hr-HR" w:eastAsia="hr-HR"/>
              </w:rPr>
              <w:t>6,1%</w:t>
            </w:r>
          </w:p>
        </w:tc>
      </w:tr>
      <w:tr w:rsidR="003E4626" w:rsidRPr="00494E6F" w:rsidTr="00494E6F">
        <w:trPr>
          <w:trHeight w:val="342"/>
        </w:trPr>
        <w:tc>
          <w:tcPr>
            <w:tcW w:w="3696" w:type="dxa"/>
            <w:tcBorders>
              <w:top w:val="nil"/>
              <w:left w:val="nil"/>
              <w:bottom w:val="nil"/>
              <w:right w:val="nil"/>
            </w:tcBorders>
            <w:noWrap/>
            <w:vAlign w:val="center"/>
          </w:tcPr>
          <w:p w:rsidR="003E4626" w:rsidRPr="00494E6F" w:rsidRDefault="003E4626" w:rsidP="00494E6F">
            <w:pPr>
              <w:suppressAutoHyphens w:val="0"/>
              <w:rPr>
                <w:rFonts w:ascii="Tele-GroteskEEHal" w:hAnsi="Tele-GroteskEEHal"/>
                <w:kern w:val="0"/>
                <w:lang w:val="hr-HR" w:eastAsia="hr-HR"/>
              </w:rPr>
            </w:pPr>
            <w:r w:rsidRPr="00494E6F">
              <w:rPr>
                <w:rFonts w:ascii="Tele-GroteskEEHal" w:hAnsi="Tele-GroteskEEHal"/>
                <w:kern w:val="0"/>
                <w:sz w:val="22"/>
                <w:szCs w:val="22"/>
                <w:lang w:val="hr-HR" w:eastAsia="hr-HR"/>
              </w:rPr>
              <w:t>Razno</w:t>
            </w:r>
          </w:p>
        </w:tc>
        <w:tc>
          <w:tcPr>
            <w:tcW w:w="1294"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85</w:t>
            </w:r>
          </w:p>
        </w:tc>
        <w:tc>
          <w:tcPr>
            <w:tcW w:w="127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kern w:val="0"/>
                <w:lang w:val="hr-HR" w:eastAsia="hr-HR"/>
              </w:rPr>
            </w:pPr>
            <w:r w:rsidRPr="00494E6F">
              <w:rPr>
                <w:rFonts w:ascii="Tele-GroteskEEHal" w:hAnsi="Tele-GroteskEEHal"/>
                <w:kern w:val="0"/>
                <w:sz w:val="22"/>
                <w:szCs w:val="22"/>
                <w:lang w:val="hr-HR" w:eastAsia="hr-HR"/>
              </w:rPr>
              <w:t>120</w:t>
            </w:r>
          </w:p>
        </w:tc>
        <w:tc>
          <w:tcPr>
            <w:tcW w:w="1555" w:type="dxa"/>
            <w:tcBorders>
              <w:top w:val="nil"/>
              <w:left w:val="nil"/>
              <w:bottom w:val="nil"/>
              <w:right w:val="nil"/>
            </w:tcBorders>
            <w:noWrap/>
            <w:vAlign w:val="center"/>
          </w:tcPr>
          <w:p w:rsidR="003E4626" w:rsidRPr="00494E6F" w:rsidRDefault="003E4626" w:rsidP="00494E6F">
            <w:pPr>
              <w:suppressAutoHyphens w:val="0"/>
              <w:jc w:val="right"/>
              <w:rPr>
                <w:rFonts w:ascii="Tele-GroteskEEHal" w:hAnsi="Tele-GroteskEEHal"/>
                <w:i/>
                <w:iCs/>
                <w:kern w:val="0"/>
                <w:lang w:val="hr-HR" w:eastAsia="hr-HR"/>
              </w:rPr>
            </w:pPr>
            <w:r w:rsidRPr="00494E6F">
              <w:rPr>
                <w:rFonts w:ascii="Tele-GroteskEEHal" w:hAnsi="Tele-GroteskEEHal"/>
                <w:i/>
                <w:iCs/>
                <w:kern w:val="0"/>
                <w:sz w:val="22"/>
                <w:szCs w:val="22"/>
                <w:lang w:val="hr-HR" w:eastAsia="hr-HR"/>
              </w:rPr>
              <w:t>-28,8%</w:t>
            </w:r>
          </w:p>
        </w:tc>
      </w:tr>
      <w:tr w:rsidR="003E4626" w:rsidRPr="00494E6F" w:rsidTr="00494E6F">
        <w:trPr>
          <w:trHeight w:val="342"/>
        </w:trPr>
        <w:tc>
          <w:tcPr>
            <w:tcW w:w="3696" w:type="dxa"/>
            <w:tcBorders>
              <w:top w:val="single" w:sz="4" w:space="0" w:color="auto"/>
              <w:left w:val="nil"/>
              <w:bottom w:val="single" w:sz="4" w:space="0" w:color="auto"/>
              <w:right w:val="nil"/>
            </w:tcBorders>
            <w:shd w:val="clear" w:color="auto" w:fill="E20074"/>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Prihod</w:t>
            </w:r>
          </w:p>
        </w:tc>
        <w:tc>
          <w:tcPr>
            <w:tcW w:w="1294" w:type="dxa"/>
            <w:tcBorders>
              <w:top w:val="single" w:sz="4" w:space="0" w:color="auto"/>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2.765</w:t>
            </w:r>
          </w:p>
        </w:tc>
        <w:tc>
          <w:tcPr>
            <w:tcW w:w="1275" w:type="dxa"/>
            <w:tcBorders>
              <w:top w:val="single" w:sz="4" w:space="0" w:color="auto"/>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2.819</w:t>
            </w:r>
          </w:p>
        </w:tc>
        <w:tc>
          <w:tcPr>
            <w:tcW w:w="1555" w:type="dxa"/>
            <w:tcBorders>
              <w:top w:val="single" w:sz="4" w:space="0" w:color="auto"/>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i/>
                <w:iCs/>
                <w:color w:val="FFFFFF"/>
                <w:kern w:val="0"/>
                <w:lang w:val="hr-HR" w:eastAsia="hr-HR"/>
              </w:rPr>
            </w:pPr>
            <w:r w:rsidRPr="00494E6F">
              <w:rPr>
                <w:rFonts w:ascii="Tele-GroteskEEHal" w:hAnsi="Tele-GroteskEEHal"/>
                <w:b/>
                <w:bCs/>
                <w:i/>
                <w:iCs/>
                <w:color w:val="FFFFFF"/>
                <w:kern w:val="0"/>
                <w:sz w:val="22"/>
                <w:szCs w:val="22"/>
                <w:lang w:val="hr-HR" w:eastAsia="hr-HR"/>
              </w:rPr>
              <w:t>-1,9%</w:t>
            </w:r>
          </w:p>
        </w:tc>
      </w:tr>
      <w:tr w:rsidR="003E4626" w:rsidRPr="00494E6F" w:rsidTr="00494E6F">
        <w:trPr>
          <w:trHeight w:val="300"/>
        </w:trPr>
        <w:tc>
          <w:tcPr>
            <w:tcW w:w="3696"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w:t>
            </w:r>
          </w:p>
        </w:tc>
        <w:tc>
          <w:tcPr>
            <w:tcW w:w="1294"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w:t>
            </w:r>
          </w:p>
        </w:tc>
        <w:tc>
          <w:tcPr>
            <w:tcW w:w="12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w:t>
            </w:r>
          </w:p>
        </w:tc>
        <w:tc>
          <w:tcPr>
            <w:tcW w:w="1555" w:type="dxa"/>
            <w:tcBorders>
              <w:top w:val="nil"/>
              <w:left w:val="nil"/>
              <w:bottom w:val="single" w:sz="4" w:space="0" w:color="auto"/>
              <w:right w:val="nil"/>
            </w:tcBorders>
            <w:noWrap/>
            <w:vAlign w:val="center"/>
          </w:tcPr>
          <w:p w:rsidR="003E4626" w:rsidRPr="00494E6F" w:rsidRDefault="003E4626" w:rsidP="00494E6F">
            <w:pPr>
              <w:suppressAutoHyphens w:val="0"/>
              <w:jc w:val="right"/>
              <w:rPr>
                <w:rFonts w:ascii="Tele-GroteskEEHal" w:hAnsi="Tele-GroteskEEHal"/>
                <w:b/>
                <w:bCs/>
                <w:i/>
                <w:iCs/>
                <w:color w:val="FFFFFF"/>
                <w:kern w:val="0"/>
                <w:lang w:val="hr-HR" w:eastAsia="hr-HR"/>
              </w:rPr>
            </w:pPr>
            <w:r w:rsidRPr="00494E6F">
              <w:rPr>
                <w:rFonts w:ascii="Tele-GroteskEEHal" w:hAnsi="Tele-GroteskEEHal"/>
                <w:b/>
                <w:bCs/>
                <w:i/>
                <w:iCs/>
                <w:color w:val="FFFFFF"/>
                <w:kern w:val="0"/>
                <w:sz w:val="22"/>
                <w:szCs w:val="22"/>
                <w:lang w:val="hr-HR" w:eastAsia="hr-HR"/>
              </w:rPr>
              <w:t> </w:t>
            </w:r>
          </w:p>
        </w:tc>
      </w:tr>
      <w:tr w:rsidR="003E4626" w:rsidRPr="00494E6F" w:rsidTr="00494E6F">
        <w:trPr>
          <w:trHeight w:val="342"/>
        </w:trPr>
        <w:tc>
          <w:tcPr>
            <w:tcW w:w="3696"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Troškovi redovnog poslovanja</w:t>
            </w:r>
          </w:p>
        </w:tc>
        <w:tc>
          <w:tcPr>
            <w:tcW w:w="1294"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kern w:val="0"/>
                <w:lang w:val="hr-HR" w:eastAsia="hr-HR"/>
              </w:rPr>
            </w:pPr>
            <w:r w:rsidRPr="00494E6F">
              <w:rPr>
                <w:rFonts w:ascii="Tele-GroteskEEHal" w:hAnsi="Tele-GroteskEEHal"/>
                <w:b/>
                <w:bCs/>
                <w:kern w:val="0"/>
                <w:sz w:val="22"/>
                <w:szCs w:val="22"/>
                <w:lang w:val="hr-HR" w:eastAsia="hr-HR"/>
              </w:rPr>
              <w:t>1.034</w:t>
            </w:r>
          </w:p>
        </w:tc>
        <w:tc>
          <w:tcPr>
            <w:tcW w:w="1275"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kern w:val="0"/>
                <w:lang w:val="hr-HR" w:eastAsia="hr-HR"/>
              </w:rPr>
            </w:pPr>
            <w:r w:rsidRPr="00494E6F">
              <w:rPr>
                <w:rFonts w:ascii="Tele-GroteskEEHal" w:hAnsi="Tele-GroteskEEHal"/>
                <w:b/>
                <w:bCs/>
                <w:kern w:val="0"/>
                <w:sz w:val="22"/>
                <w:szCs w:val="22"/>
                <w:lang w:val="hr-HR" w:eastAsia="hr-HR"/>
              </w:rPr>
              <w:t>899</w:t>
            </w:r>
          </w:p>
        </w:tc>
        <w:tc>
          <w:tcPr>
            <w:tcW w:w="1555"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i/>
                <w:iCs/>
                <w:kern w:val="0"/>
                <w:lang w:val="hr-HR" w:eastAsia="hr-HR"/>
              </w:rPr>
            </w:pPr>
            <w:r w:rsidRPr="00494E6F">
              <w:rPr>
                <w:rFonts w:ascii="Tele-GroteskEEHal" w:hAnsi="Tele-GroteskEEHal"/>
                <w:b/>
                <w:bCs/>
                <w:i/>
                <w:iCs/>
                <w:kern w:val="0"/>
                <w:sz w:val="22"/>
                <w:szCs w:val="22"/>
                <w:lang w:val="hr-HR" w:eastAsia="hr-HR"/>
              </w:rPr>
              <w:t>15,0%</w:t>
            </w:r>
          </w:p>
        </w:tc>
      </w:tr>
      <w:tr w:rsidR="003E4626" w:rsidRPr="00494E6F" w:rsidTr="00494E6F">
        <w:trPr>
          <w:trHeight w:val="300"/>
        </w:trPr>
        <w:tc>
          <w:tcPr>
            <w:tcW w:w="3696"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294"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2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555" w:type="dxa"/>
            <w:tcBorders>
              <w:top w:val="nil"/>
              <w:left w:val="nil"/>
              <w:bottom w:val="single" w:sz="4" w:space="0" w:color="auto"/>
              <w:right w:val="nil"/>
            </w:tcBorders>
            <w:noWrap/>
            <w:vAlign w:val="center"/>
          </w:tcPr>
          <w:p w:rsidR="003E4626" w:rsidRPr="00494E6F" w:rsidRDefault="003E4626" w:rsidP="00494E6F">
            <w:pPr>
              <w:suppressAutoHyphens w:val="0"/>
              <w:jc w:val="right"/>
              <w:rPr>
                <w:rFonts w:ascii="Tele-GroteskEEHal" w:hAnsi="Tele-GroteskEEHal"/>
                <w:b/>
                <w:bCs/>
                <w:i/>
                <w:iCs/>
                <w:kern w:val="0"/>
                <w:lang w:val="hr-HR" w:eastAsia="hr-HR"/>
              </w:rPr>
            </w:pPr>
            <w:r w:rsidRPr="00494E6F">
              <w:rPr>
                <w:rFonts w:ascii="Tele-GroteskEEHal" w:hAnsi="Tele-GroteskEEHal"/>
                <w:b/>
                <w:bCs/>
                <w:i/>
                <w:iCs/>
                <w:kern w:val="0"/>
                <w:sz w:val="22"/>
                <w:szCs w:val="22"/>
                <w:lang w:val="hr-HR" w:eastAsia="hr-HR"/>
              </w:rPr>
              <w:t> </w:t>
            </w:r>
          </w:p>
        </w:tc>
      </w:tr>
      <w:tr w:rsidR="003E4626" w:rsidRPr="00494E6F" w:rsidTr="00494E6F">
        <w:trPr>
          <w:trHeight w:val="342"/>
        </w:trPr>
        <w:tc>
          <w:tcPr>
            <w:tcW w:w="3696"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EBITDA Doprinos</w:t>
            </w:r>
          </w:p>
        </w:tc>
        <w:tc>
          <w:tcPr>
            <w:tcW w:w="1294"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1.731</w:t>
            </w:r>
          </w:p>
        </w:tc>
        <w:tc>
          <w:tcPr>
            <w:tcW w:w="1275"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1.919</w:t>
            </w:r>
          </w:p>
        </w:tc>
        <w:tc>
          <w:tcPr>
            <w:tcW w:w="1555"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i/>
                <w:iCs/>
                <w:color w:val="FFFFFF"/>
                <w:kern w:val="0"/>
                <w:lang w:val="hr-HR" w:eastAsia="hr-HR"/>
              </w:rPr>
            </w:pPr>
            <w:r w:rsidRPr="00494E6F">
              <w:rPr>
                <w:rFonts w:ascii="Tele-GroteskEEHal" w:hAnsi="Tele-GroteskEEHal"/>
                <w:b/>
                <w:bCs/>
                <w:i/>
                <w:iCs/>
                <w:color w:val="FFFFFF"/>
                <w:kern w:val="0"/>
                <w:sz w:val="22"/>
                <w:szCs w:val="22"/>
                <w:lang w:val="hr-HR" w:eastAsia="hr-HR"/>
              </w:rPr>
              <w:t>-9,8%</w:t>
            </w:r>
          </w:p>
        </w:tc>
      </w:tr>
    </w:tbl>
    <w:p w:rsidR="003E4626" w:rsidRDefault="003E4626" w:rsidP="00634AC7">
      <w:pPr>
        <w:jc w:val="both"/>
        <w:rPr>
          <w:rFonts w:ascii="Tele-GroteskEEHal" w:hAnsi="Tele-GroteskEEHal" w:cs="Tahoma"/>
          <w:b/>
          <w:sz w:val="22"/>
          <w:szCs w:val="22"/>
          <w:lang w:val="hr-HR"/>
        </w:rPr>
      </w:pPr>
    </w:p>
    <w:p w:rsidR="003E4626" w:rsidRPr="00960D6B" w:rsidRDefault="003E4626" w:rsidP="00634AC7">
      <w:pPr>
        <w:jc w:val="both"/>
        <w:rPr>
          <w:rFonts w:ascii="Tele-GroteskEEHal" w:hAnsi="Tele-GroteskEEHal" w:cs="Tahoma"/>
          <w:b/>
          <w:sz w:val="22"/>
          <w:szCs w:val="22"/>
          <w:lang w:val="hr-HR"/>
        </w:rPr>
      </w:pPr>
    </w:p>
    <w:p w:rsidR="003E4626" w:rsidRPr="00960D6B" w:rsidRDefault="003E4626" w:rsidP="005805AF">
      <w:pPr>
        <w:jc w:val="both"/>
        <w:rPr>
          <w:rFonts w:ascii="Tele-GroteskEEHal" w:hAnsi="Tele-GroteskEEHal"/>
          <w:b/>
          <w:sz w:val="22"/>
          <w:szCs w:val="22"/>
          <w:lang w:val="hr-HR"/>
        </w:rPr>
      </w:pPr>
      <w:r w:rsidRPr="00960D6B">
        <w:rPr>
          <w:rFonts w:ascii="Tele-GroteskEEHal" w:hAnsi="Tele-GroteskEEHal" w:cs="Tahoma"/>
          <w:b/>
          <w:sz w:val="22"/>
          <w:szCs w:val="22"/>
          <w:lang w:val="hr-HR"/>
        </w:rPr>
        <w:t>Prihodi</w:t>
      </w:r>
    </w:p>
    <w:p w:rsidR="003E4626" w:rsidRPr="00960D6B" w:rsidRDefault="003E4626" w:rsidP="009F6FCA">
      <w:pPr>
        <w:jc w:val="both"/>
        <w:rPr>
          <w:rFonts w:ascii="Tele-GroteskEEHal" w:hAnsi="Tele-GroteskEEHal"/>
          <w:b/>
          <w:sz w:val="22"/>
          <w:szCs w:val="22"/>
          <w:lang w:val="hr-HR"/>
        </w:rPr>
      </w:pPr>
    </w:p>
    <w:p w:rsidR="003E4626" w:rsidRPr="00960D6B" w:rsidRDefault="003E4626" w:rsidP="009F6FCA">
      <w:pPr>
        <w:jc w:val="both"/>
        <w:rPr>
          <w:rFonts w:ascii="Tele-GroteskEEHal" w:hAnsi="Tele-GroteskEEHal"/>
          <w:b/>
          <w:sz w:val="22"/>
          <w:szCs w:val="22"/>
          <w:lang w:val="hr-HR"/>
        </w:rPr>
      </w:pPr>
      <w:r w:rsidRPr="00960D6B">
        <w:rPr>
          <w:rFonts w:ascii="Tele-GroteskEEHal" w:hAnsi="Tele-GroteskEEHal"/>
          <w:b/>
          <w:sz w:val="22"/>
          <w:szCs w:val="22"/>
          <w:lang w:val="hr-HR"/>
        </w:rPr>
        <w:t>Prihodi od govornih usluga</w:t>
      </w:r>
    </w:p>
    <w:p w:rsidR="003E4626" w:rsidRPr="00960D6B" w:rsidRDefault="003E4626" w:rsidP="00A66730">
      <w:pPr>
        <w:jc w:val="both"/>
        <w:rPr>
          <w:rFonts w:ascii="Tele-GroteskEEHal" w:hAnsi="Tele-GroteskEEHal" w:cs="Arial"/>
          <w:color w:val="000000"/>
          <w:sz w:val="22"/>
          <w:szCs w:val="22"/>
          <w:lang w:val="hr-HR"/>
        </w:rPr>
      </w:pPr>
    </w:p>
    <w:p w:rsidR="003E4626" w:rsidRPr="0002644D" w:rsidRDefault="003E4626" w:rsidP="0002644D">
      <w:pPr>
        <w:suppressAutoHyphens w:val="0"/>
        <w:rPr>
          <w:rFonts w:ascii="Tele-GroteskEEHal" w:hAnsi="Tele-GroteskEEHal"/>
          <w:kern w:val="0"/>
          <w:sz w:val="22"/>
          <w:szCs w:val="22"/>
          <w:lang w:val="hr-HR" w:eastAsia="hr-HR"/>
        </w:rPr>
      </w:pPr>
      <w:r w:rsidRPr="004B2998">
        <w:rPr>
          <w:rFonts w:ascii="Tele-GroteskEEHal" w:hAnsi="Tele-GroteskEEHal"/>
          <w:kern w:val="0"/>
          <w:sz w:val="22"/>
          <w:szCs w:val="22"/>
          <w:lang w:val="hr-HR" w:eastAsia="hr-HR"/>
        </w:rPr>
        <w:t>Prihodi od govornih usluga smanjili su se za 11,6% na 1.383 milijuna kuna (siječanj-rujan 2010.: 1.565 milijuna kuna) pod utjecajem stalnoga gospodarskog pada, pritisaka konkurencije na cijene te smanjenja ukupnog broja priključaka u nepokretnoj mreži od 9,2% i ukupnog broja minuta ostvarenih u nepokretnoj mreži od 17,7%.</w:t>
      </w:r>
    </w:p>
    <w:p w:rsidR="003E4626" w:rsidRPr="0002644D" w:rsidRDefault="003E4626" w:rsidP="00A66730">
      <w:pPr>
        <w:jc w:val="both"/>
        <w:rPr>
          <w:rFonts w:ascii="Tele-GroteskEEHal" w:hAnsi="Tele-GroteskEEHal" w:cs="Arial"/>
          <w:sz w:val="22"/>
          <w:szCs w:val="22"/>
          <w:lang w:val="hr-HR"/>
        </w:rPr>
      </w:pPr>
    </w:p>
    <w:p w:rsidR="003E4626" w:rsidRPr="00960D6B" w:rsidRDefault="003E4626" w:rsidP="00A66730">
      <w:pPr>
        <w:jc w:val="both"/>
        <w:rPr>
          <w:rFonts w:ascii="Tele-GroteskEEHal" w:hAnsi="Tele-GroteskEEHal" w:cs="Arial"/>
          <w:color w:val="000000"/>
          <w:sz w:val="22"/>
          <w:szCs w:val="22"/>
          <w:lang w:val="hr-HR"/>
        </w:rPr>
      </w:pPr>
      <w:r w:rsidRPr="0002644D">
        <w:rPr>
          <w:rFonts w:ascii="Tele-GroteskEEHal" w:hAnsi="Tele-GroteskEEHal" w:cs="Arial"/>
          <w:sz w:val="22"/>
          <w:szCs w:val="22"/>
          <w:lang w:val="hr-HR"/>
        </w:rPr>
        <w:t>Prihodi od govornih usluga u nepokretnoj mreži na veleprodajnoj razini smanjili su se za 13,8% zbog</w:t>
      </w:r>
      <w:r w:rsidRPr="00960D6B">
        <w:rPr>
          <w:rFonts w:ascii="Tele-GroteskEEHal" w:hAnsi="Tele-GroteskEEHal" w:cs="Arial"/>
          <w:color w:val="000000"/>
          <w:sz w:val="22"/>
          <w:szCs w:val="22"/>
          <w:lang w:val="hr-HR"/>
        </w:rPr>
        <w:t xml:space="preserve"> regulatorne intervencije u obliku manjih cijena međupovezivanja od 1. siječnja 2011. K tomu, prihodi od govornih usluga međunarodnih operatora smanjili su se za 5,8% u odnosu na prošlu godinu, u prvom redu kao rezultat manjeg prometa. </w:t>
      </w:r>
    </w:p>
    <w:p w:rsidR="003E4626" w:rsidRPr="00960D6B" w:rsidRDefault="003E4626" w:rsidP="00A66730">
      <w:pPr>
        <w:jc w:val="both"/>
        <w:rPr>
          <w:rFonts w:ascii="Tele-GroteskEEHal" w:hAnsi="Tele-GroteskEEHal" w:cs="Arial"/>
          <w:sz w:val="22"/>
          <w:szCs w:val="22"/>
          <w:lang w:val="hr-HR"/>
        </w:rPr>
      </w:pPr>
    </w:p>
    <w:p w:rsidR="003E4626" w:rsidRPr="00960D6B" w:rsidRDefault="003E4626" w:rsidP="00A66730">
      <w:pPr>
        <w:jc w:val="both"/>
        <w:rPr>
          <w:rFonts w:ascii="Tele-GroteskEEHal" w:hAnsi="Tele-GroteskEEHal" w:cs="Arial"/>
          <w:color w:val="000000"/>
          <w:sz w:val="22"/>
          <w:szCs w:val="22"/>
          <w:lang w:val="hr-HR"/>
        </w:rPr>
      </w:pPr>
      <w:r w:rsidRPr="00960D6B">
        <w:rPr>
          <w:rFonts w:ascii="Tele-GroteskEEHal" w:hAnsi="Tele-GroteskEEHal" w:cs="Arial"/>
          <w:color w:val="000000"/>
          <w:sz w:val="22"/>
          <w:szCs w:val="22"/>
          <w:lang w:val="hr-HR"/>
        </w:rPr>
        <w:t>Nastavlja se pritisak da se smanje cijene govornih usluga u pokretnoj mreži, pri čemu je pad prihoda od govornih usluga u pokretnoj mreži na maloprodajnoj razini potaknut manjim ARPU-om za govorne usluge. Navedeno je djelomično kompenzirano povećanjem broja pretplatnika. Osim toga, do manjih prihoda od završetka poziva u pokretnoj mreži došlo je nakon smanjenja cijena završetka poziva.</w:t>
      </w:r>
    </w:p>
    <w:p w:rsidR="003E4626" w:rsidRPr="00960D6B" w:rsidRDefault="003E4626" w:rsidP="009F6FCA">
      <w:pPr>
        <w:jc w:val="both"/>
        <w:rPr>
          <w:rFonts w:ascii="Tele-GroteskEEHal" w:hAnsi="Tele-GroteskEEHal" w:cs="Arial"/>
          <w:color w:val="FF0000"/>
          <w:sz w:val="22"/>
          <w:szCs w:val="22"/>
          <w:lang w:val="hr-HR"/>
        </w:rPr>
      </w:pPr>
    </w:p>
    <w:p w:rsidR="003E4626" w:rsidRPr="00960D6B" w:rsidRDefault="003E4626" w:rsidP="009F6FCA">
      <w:pPr>
        <w:jc w:val="both"/>
        <w:rPr>
          <w:rFonts w:ascii="Tele-GroteskEEHal" w:hAnsi="Tele-GroteskEEHal" w:cs="Arial"/>
          <w:color w:val="FF0000"/>
          <w:sz w:val="22"/>
          <w:szCs w:val="22"/>
          <w:lang w:val="hr-HR"/>
        </w:rPr>
      </w:pPr>
    </w:p>
    <w:p w:rsidR="003E4626" w:rsidRPr="00960D6B" w:rsidRDefault="003E4626" w:rsidP="00A66730">
      <w:pPr>
        <w:jc w:val="both"/>
        <w:rPr>
          <w:rFonts w:ascii="Tele-GroteskEEHal" w:hAnsi="Tele-GroteskEEHal"/>
          <w:b/>
          <w:sz w:val="22"/>
          <w:szCs w:val="22"/>
          <w:lang w:val="hr-HR"/>
        </w:rPr>
      </w:pPr>
      <w:r w:rsidRPr="00960D6B">
        <w:rPr>
          <w:rFonts w:ascii="Tele-GroteskEEHal" w:hAnsi="Tele-GroteskEEHal"/>
          <w:b/>
          <w:sz w:val="22"/>
          <w:szCs w:val="22"/>
          <w:lang w:val="hr-HR"/>
        </w:rPr>
        <w:t>Prihodi od negovornih usluga</w:t>
      </w:r>
    </w:p>
    <w:p w:rsidR="003E4626" w:rsidRPr="00960D6B" w:rsidRDefault="003E4626" w:rsidP="009F6FCA">
      <w:pPr>
        <w:jc w:val="both"/>
        <w:rPr>
          <w:rFonts w:ascii="Tele-GroteskEEHal" w:hAnsi="Tele-GroteskEEHal"/>
          <w:sz w:val="22"/>
          <w:szCs w:val="28"/>
          <w:lang w:val="hr-HR"/>
        </w:rPr>
      </w:pPr>
    </w:p>
    <w:p w:rsidR="003E4626" w:rsidRPr="00960D6B" w:rsidRDefault="003E4626" w:rsidP="005A25C8">
      <w:pPr>
        <w:jc w:val="both"/>
        <w:rPr>
          <w:rFonts w:ascii="Tele-GroteskEEHal" w:hAnsi="Tele-GroteskEEHal"/>
          <w:sz w:val="22"/>
          <w:szCs w:val="28"/>
          <w:lang w:val="hr-HR"/>
        </w:rPr>
      </w:pPr>
      <w:r w:rsidRPr="00960D6B">
        <w:rPr>
          <w:rFonts w:ascii="Tele-GroteskEEHal" w:hAnsi="Tele-GroteskEEHal"/>
          <w:sz w:val="22"/>
          <w:szCs w:val="28"/>
          <w:lang w:val="hr-HR"/>
        </w:rPr>
        <w:t>U devet mjeseci do 30. rujna 2011. prihodi od negovornih usluga smanjili su se za 5,4% na 829 milijuna kuna, u prvom redu zbog smanjenja prihoda od negovornih usluga u nepokretnoj mreži na maloprodajnoj i veleprodajnoj razini.</w:t>
      </w:r>
    </w:p>
    <w:p w:rsidR="003E4626" w:rsidRPr="00960D6B" w:rsidRDefault="003E4626" w:rsidP="005A25C8">
      <w:pPr>
        <w:jc w:val="both"/>
        <w:rPr>
          <w:rFonts w:ascii="Tele-GroteskEEHal" w:hAnsi="Tele-GroteskEEHal"/>
          <w:sz w:val="22"/>
          <w:szCs w:val="28"/>
          <w:lang w:val="hr-HR"/>
        </w:rPr>
      </w:pPr>
    </w:p>
    <w:p w:rsidR="003E4626" w:rsidRPr="00960D6B" w:rsidRDefault="003E4626" w:rsidP="005A25C8">
      <w:pPr>
        <w:jc w:val="both"/>
        <w:rPr>
          <w:rFonts w:ascii="Tele-GroteskEEHal" w:hAnsi="Tele-GroteskEEHal"/>
          <w:sz w:val="22"/>
          <w:szCs w:val="28"/>
          <w:lang w:val="hr-HR"/>
        </w:rPr>
      </w:pPr>
      <w:r w:rsidRPr="00960D6B">
        <w:rPr>
          <w:rFonts w:ascii="Tele-GroteskEEHal" w:hAnsi="Tele-GroteskEEHal"/>
          <w:sz w:val="22"/>
          <w:szCs w:val="28"/>
          <w:lang w:val="hr-HR"/>
        </w:rPr>
        <w:t>Pad u području nepokretne telefonije na maloprodajnoj razini bio je potaknut manjim prihodima od tradicionalnih podatkovnih usluga, što je djelomično neutralizirano većim prihodima od IP-a.</w:t>
      </w:r>
    </w:p>
    <w:p w:rsidR="003E4626" w:rsidRPr="00960D6B" w:rsidRDefault="003E4626" w:rsidP="005A25C8">
      <w:pPr>
        <w:jc w:val="both"/>
        <w:rPr>
          <w:rFonts w:ascii="Tele-GroteskEEHal" w:hAnsi="Tele-GroteskEEHal"/>
          <w:sz w:val="22"/>
          <w:szCs w:val="28"/>
          <w:lang w:val="hr-HR"/>
        </w:rPr>
      </w:pPr>
    </w:p>
    <w:p w:rsidR="003E4626" w:rsidRPr="00960D6B" w:rsidRDefault="003E4626" w:rsidP="005A25C8">
      <w:pPr>
        <w:jc w:val="both"/>
        <w:rPr>
          <w:rFonts w:ascii="Tele-GroteskEEHal" w:hAnsi="Tele-GroteskEEHal"/>
          <w:sz w:val="22"/>
          <w:szCs w:val="28"/>
          <w:lang w:val="hr-HR"/>
        </w:rPr>
      </w:pPr>
      <w:r w:rsidRPr="00960D6B">
        <w:rPr>
          <w:rFonts w:ascii="Tele-GroteskEEHal" w:hAnsi="Tele-GroteskEEHal"/>
          <w:sz w:val="22"/>
          <w:szCs w:val="28"/>
          <w:lang w:val="hr-HR"/>
        </w:rPr>
        <w:t>Prihodi od negovornih usluga u nepokretnoj mreži na veleprodajnoj razini bili su manji zbog pada prihoda od nacionalnih iznajmljenih vodova, prelaska na nove komercijalne modele i smanjenja kapaciteta. Prihodi od nacionalnih usluga utemeljenih na IP-u manji su zbog pada dial-up prometa. Prihodi od iznajmljenih vodova za međupovezivanje također su zabilježili pad.</w:t>
      </w:r>
    </w:p>
    <w:p w:rsidR="003E4626" w:rsidRPr="00960D6B" w:rsidRDefault="003E4626" w:rsidP="009F6FCA">
      <w:pPr>
        <w:jc w:val="both"/>
        <w:rPr>
          <w:rFonts w:ascii="Tele-GroteskEEHal" w:hAnsi="Tele-GroteskEEHal"/>
          <w:sz w:val="22"/>
          <w:szCs w:val="28"/>
          <w:lang w:val="hr-HR"/>
        </w:rPr>
      </w:pPr>
    </w:p>
    <w:p w:rsidR="003E4626" w:rsidRPr="00960D6B" w:rsidRDefault="003E4626" w:rsidP="009F6FCA">
      <w:pPr>
        <w:jc w:val="both"/>
        <w:rPr>
          <w:rFonts w:ascii="Tele-GroteskEEHal" w:hAnsi="Tele-GroteskEEHal"/>
          <w:color w:val="FF0000"/>
          <w:sz w:val="22"/>
          <w:szCs w:val="28"/>
          <w:lang w:val="hr-HR"/>
        </w:rPr>
      </w:pPr>
    </w:p>
    <w:p w:rsidR="003E4626" w:rsidRPr="00960D6B" w:rsidRDefault="003E4626" w:rsidP="00144B3C">
      <w:pPr>
        <w:jc w:val="both"/>
        <w:rPr>
          <w:rFonts w:ascii="Tele-GroteskEEHal" w:hAnsi="Tele-GroteskEEHal"/>
          <w:b/>
          <w:sz w:val="22"/>
          <w:szCs w:val="22"/>
          <w:lang w:val="hr-HR"/>
        </w:rPr>
      </w:pPr>
      <w:r w:rsidRPr="00960D6B">
        <w:rPr>
          <w:rFonts w:ascii="Tele-GroteskEEHal" w:hAnsi="Tele-GroteskEEHal"/>
          <w:b/>
          <w:sz w:val="22"/>
          <w:szCs w:val="22"/>
          <w:lang w:val="hr-HR"/>
        </w:rPr>
        <w:t>Prihodi od ostalih usluga</w:t>
      </w:r>
    </w:p>
    <w:p w:rsidR="003E4626" w:rsidRPr="00960D6B" w:rsidRDefault="003E4626" w:rsidP="00144B3C">
      <w:pPr>
        <w:jc w:val="both"/>
        <w:rPr>
          <w:rFonts w:ascii="Tele-GroteskEEHal" w:hAnsi="Tele-GroteskEEHal" w:cs="Arial"/>
          <w:sz w:val="22"/>
          <w:szCs w:val="22"/>
          <w:lang w:val="hr-HR"/>
        </w:rPr>
      </w:pPr>
    </w:p>
    <w:p w:rsidR="003E4626" w:rsidRPr="00960D6B" w:rsidRDefault="003E4626" w:rsidP="00144B3C">
      <w:pPr>
        <w:jc w:val="both"/>
        <w:rPr>
          <w:rFonts w:ascii="Tele-GroteskEEHal" w:hAnsi="Tele-GroteskEEHal" w:cs="Arial"/>
          <w:sz w:val="22"/>
          <w:szCs w:val="22"/>
          <w:lang w:val="hr-HR"/>
        </w:rPr>
      </w:pPr>
      <w:r w:rsidRPr="00960D6B">
        <w:rPr>
          <w:rFonts w:ascii="Tele-GroteskEEHal" w:hAnsi="Tele-GroteskEEHal" w:cs="Arial"/>
          <w:sz w:val="22"/>
          <w:szCs w:val="22"/>
          <w:lang w:val="hr-HR"/>
        </w:rPr>
        <w:t>Prihodi od ostalih usluga povećali su se za 96,8% na 422 milijuna kuna (siječanj-rujan 2010.: 214 milijuna kuna) zahvaljujući rastu prihoda od ICT-a do kojega je došlo nakon akvizicije Combisa (konsolidiran u svibnju 2010.).</w:t>
      </w:r>
    </w:p>
    <w:p w:rsidR="003E4626" w:rsidRPr="00960D6B" w:rsidRDefault="003E4626" w:rsidP="00144B3C">
      <w:pPr>
        <w:jc w:val="both"/>
        <w:rPr>
          <w:rFonts w:ascii="Tele-GroteskEEHal" w:hAnsi="Tele-GroteskEEHal" w:cs="Arial"/>
          <w:sz w:val="22"/>
          <w:szCs w:val="22"/>
          <w:lang w:val="hr-HR"/>
        </w:rPr>
      </w:pPr>
    </w:p>
    <w:p w:rsidR="003E4626" w:rsidRPr="00960D6B" w:rsidRDefault="003E4626" w:rsidP="00144B3C">
      <w:pPr>
        <w:jc w:val="both"/>
        <w:rPr>
          <w:rFonts w:ascii="Tele-GroteskEEHal" w:hAnsi="Tele-GroteskEEHal"/>
          <w:color w:val="FF0000"/>
          <w:sz w:val="22"/>
          <w:szCs w:val="28"/>
          <w:lang w:val="hr-HR"/>
        </w:rPr>
      </w:pPr>
    </w:p>
    <w:p w:rsidR="003E4626" w:rsidRPr="00960D6B" w:rsidRDefault="003E4626" w:rsidP="00144B3C">
      <w:pPr>
        <w:jc w:val="both"/>
        <w:rPr>
          <w:rFonts w:ascii="Tele-GroteskEEHal" w:hAnsi="Tele-GroteskEEHal"/>
          <w:b/>
          <w:sz w:val="22"/>
          <w:szCs w:val="22"/>
          <w:lang w:val="hr-HR"/>
        </w:rPr>
      </w:pPr>
      <w:r w:rsidRPr="00960D6B">
        <w:rPr>
          <w:rFonts w:ascii="Tele-GroteskEEHal" w:hAnsi="Tele-GroteskEEHal"/>
          <w:b/>
          <w:sz w:val="22"/>
          <w:szCs w:val="22"/>
          <w:lang w:val="hr-HR"/>
        </w:rPr>
        <w:t>Terminalna oprema</w:t>
      </w:r>
    </w:p>
    <w:p w:rsidR="003E4626" w:rsidRPr="00960D6B" w:rsidRDefault="003E4626" w:rsidP="00144B3C">
      <w:pPr>
        <w:jc w:val="both"/>
        <w:rPr>
          <w:rFonts w:ascii="Tele-GroteskEEHal" w:hAnsi="Tele-GroteskEEHal"/>
          <w:sz w:val="22"/>
          <w:szCs w:val="22"/>
          <w:lang w:val="hr-HR"/>
        </w:rPr>
      </w:pPr>
    </w:p>
    <w:p w:rsidR="003E4626" w:rsidRPr="00960D6B" w:rsidRDefault="003E4626" w:rsidP="00144B3C">
      <w:pPr>
        <w:jc w:val="both"/>
        <w:rPr>
          <w:rFonts w:ascii="Tele-GroteskEEHal" w:hAnsi="Tele-GroteskEEHal"/>
          <w:sz w:val="22"/>
          <w:szCs w:val="22"/>
          <w:lang w:val="hr-HR"/>
        </w:rPr>
      </w:pPr>
      <w:r w:rsidRPr="00960D6B">
        <w:rPr>
          <w:rFonts w:ascii="Tele-GroteskEEHal" w:hAnsi="Tele-GroteskEEHal"/>
          <w:sz w:val="22"/>
          <w:szCs w:val="22"/>
          <w:lang w:val="hr-HR"/>
        </w:rPr>
        <w:t>Prihodi od terminalne opreme povećali su se za 6,1% na 46 milijuna kuna. Prihodi od terminalne opreme za nepokretnu mrežu neznatno su manji, što je kompenzirano većim prihodima od terminalne opreme za pokretnu mrežu kao rezultat promotivnih aktivnosti na početku 2011.</w:t>
      </w:r>
    </w:p>
    <w:p w:rsidR="003E4626" w:rsidRPr="00960D6B" w:rsidRDefault="003E4626" w:rsidP="009F6FCA">
      <w:pPr>
        <w:jc w:val="both"/>
        <w:rPr>
          <w:rFonts w:ascii="Tele-GroteskEEHal" w:hAnsi="Tele-GroteskEEHal"/>
          <w:sz w:val="22"/>
          <w:szCs w:val="22"/>
          <w:lang w:val="hr-HR"/>
        </w:rPr>
      </w:pPr>
    </w:p>
    <w:p w:rsidR="003E4626" w:rsidRPr="00960D6B" w:rsidRDefault="003E4626" w:rsidP="009F6FCA">
      <w:pPr>
        <w:jc w:val="both"/>
        <w:rPr>
          <w:rFonts w:ascii="Tele-GroteskEEHal" w:hAnsi="Tele-GroteskEEHal"/>
          <w:color w:val="FF0000"/>
          <w:sz w:val="28"/>
          <w:szCs w:val="28"/>
          <w:lang w:val="hr-HR"/>
        </w:rPr>
      </w:pPr>
    </w:p>
    <w:p w:rsidR="003E4626" w:rsidRPr="00960D6B" w:rsidRDefault="003E4626" w:rsidP="008C727C">
      <w:pPr>
        <w:jc w:val="both"/>
        <w:rPr>
          <w:rFonts w:ascii="Tele-GroteskEEHal" w:hAnsi="Tele-GroteskEEHal"/>
          <w:b/>
          <w:sz w:val="22"/>
          <w:szCs w:val="22"/>
          <w:lang w:val="hr-HR"/>
        </w:rPr>
      </w:pPr>
      <w:r w:rsidRPr="00960D6B">
        <w:rPr>
          <w:rFonts w:ascii="Tele-GroteskEEHal" w:hAnsi="Tele-GroteskEEHal"/>
          <w:b/>
          <w:sz w:val="22"/>
          <w:szCs w:val="22"/>
          <w:lang w:val="hr-HR"/>
        </w:rPr>
        <w:t xml:space="preserve">Razni prihodi </w:t>
      </w:r>
    </w:p>
    <w:p w:rsidR="003E4626" w:rsidRPr="00960D6B" w:rsidRDefault="003E4626" w:rsidP="008C727C">
      <w:pPr>
        <w:jc w:val="both"/>
        <w:rPr>
          <w:rFonts w:ascii="Tele-GroteskEEHal" w:hAnsi="Tele-GroteskEEHal"/>
          <w:sz w:val="22"/>
          <w:szCs w:val="22"/>
          <w:lang w:val="hr-HR"/>
        </w:rPr>
      </w:pPr>
    </w:p>
    <w:p w:rsidR="003E4626" w:rsidRPr="00960D6B" w:rsidRDefault="003E4626" w:rsidP="008C727C">
      <w:pPr>
        <w:jc w:val="both"/>
        <w:rPr>
          <w:rFonts w:ascii="Tele-GroteskEEHal" w:hAnsi="Tele-GroteskEEHal"/>
          <w:sz w:val="22"/>
          <w:szCs w:val="22"/>
          <w:lang w:val="hr-HR"/>
        </w:rPr>
      </w:pPr>
      <w:r w:rsidRPr="00960D6B">
        <w:rPr>
          <w:rFonts w:ascii="Tele-GroteskEEHal" w:hAnsi="Tele-GroteskEEHal"/>
          <w:sz w:val="22"/>
          <w:szCs w:val="22"/>
          <w:lang w:val="hr-HR"/>
        </w:rPr>
        <w:t>Razni su se prihodi smanjili za 28,8% na 85 milijuna kuna. Pad je u prvom redu uzrokovan manjim prihodima od pokretnih komunikacija budući da su prihodi od naknade za isključenje postali dio prihoda od usluga od početka 2011. Razni prihodi od pokretnih komunikacija na veleprodajnoj razini također su se smanjili zbog manjih cijena i manjeg prometa nacionalnog roaminga (NR).</w:t>
      </w:r>
    </w:p>
    <w:p w:rsidR="003E4626" w:rsidRPr="00960D6B" w:rsidRDefault="003E4626" w:rsidP="008C727C">
      <w:pPr>
        <w:jc w:val="both"/>
        <w:rPr>
          <w:rFonts w:ascii="Tele-GroteskEEHal" w:hAnsi="Tele-GroteskEEHal"/>
          <w:color w:val="FF0000"/>
          <w:sz w:val="22"/>
          <w:szCs w:val="22"/>
          <w:lang w:val="hr-HR"/>
        </w:rPr>
      </w:pPr>
    </w:p>
    <w:p w:rsidR="003E4626" w:rsidRPr="00960D6B" w:rsidRDefault="003E4626" w:rsidP="008C727C">
      <w:pPr>
        <w:jc w:val="both"/>
        <w:rPr>
          <w:color w:val="FF0000"/>
          <w:lang w:val="hr-HR"/>
        </w:rPr>
      </w:pPr>
    </w:p>
    <w:p w:rsidR="003E4626" w:rsidRPr="00960D6B" w:rsidRDefault="003E4626" w:rsidP="008C727C">
      <w:pPr>
        <w:jc w:val="both"/>
        <w:rPr>
          <w:rFonts w:ascii="Tele-GroteskEEHal" w:hAnsi="Tele-GroteskEEHal"/>
          <w:b/>
          <w:sz w:val="22"/>
          <w:szCs w:val="22"/>
          <w:lang w:val="hr-HR"/>
        </w:rPr>
      </w:pPr>
      <w:r w:rsidRPr="00960D6B">
        <w:rPr>
          <w:rFonts w:ascii="Tele-GroteskEEHal" w:hAnsi="Tele-GroteskEEHal"/>
          <w:b/>
          <w:sz w:val="22"/>
          <w:szCs w:val="22"/>
          <w:lang w:val="hr-HR"/>
        </w:rPr>
        <w:t>Doprinos EBITDA-i</w:t>
      </w:r>
    </w:p>
    <w:p w:rsidR="003E4626" w:rsidRPr="00960D6B" w:rsidRDefault="003E4626" w:rsidP="008C727C">
      <w:pPr>
        <w:jc w:val="both"/>
        <w:rPr>
          <w:rFonts w:ascii="Tele-GroteskEEHal" w:hAnsi="Tele-GroteskEEHal"/>
          <w:sz w:val="22"/>
          <w:szCs w:val="22"/>
          <w:lang w:val="hr-HR"/>
        </w:rPr>
      </w:pPr>
    </w:p>
    <w:p w:rsidR="003E4626" w:rsidRPr="00960D6B" w:rsidRDefault="003E4626" w:rsidP="008C727C">
      <w:pPr>
        <w:jc w:val="both"/>
        <w:rPr>
          <w:rFonts w:ascii="Tele-GroteskEEHal" w:hAnsi="Tele-GroteskEEHal"/>
          <w:sz w:val="22"/>
          <w:szCs w:val="22"/>
          <w:lang w:val="hr-HR"/>
        </w:rPr>
      </w:pPr>
      <w:r w:rsidRPr="00960D6B">
        <w:rPr>
          <w:rFonts w:ascii="Tele-GroteskEEHal" w:hAnsi="Tele-GroteskEEHal"/>
          <w:sz w:val="22"/>
          <w:szCs w:val="22"/>
          <w:lang w:val="hr-HR"/>
        </w:rPr>
        <w:t>Doprinos Segmenta poslovnih korisnika EBITDA-i u devet mjeseci do 30. rujna 2011. smanjio se za 9,8% na 1.731 milijun kuna u odnosu na prošlu godinu.</w:t>
      </w:r>
    </w:p>
    <w:p w:rsidR="003E4626" w:rsidRPr="00960D6B"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Default="003E4626" w:rsidP="009F6FCA">
      <w:pPr>
        <w:jc w:val="both"/>
        <w:rPr>
          <w:rFonts w:ascii="Tele-GroteskEEHal" w:hAnsi="Tele-GroteskEEHal" w:cs="Tahoma"/>
          <w:b/>
          <w:sz w:val="22"/>
          <w:szCs w:val="22"/>
          <w:lang w:val="hr-HR"/>
        </w:rPr>
      </w:pPr>
    </w:p>
    <w:p w:rsidR="003E4626" w:rsidRPr="00960D6B" w:rsidRDefault="003E4626" w:rsidP="009F6FCA">
      <w:pPr>
        <w:jc w:val="both"/>
        <w:rPr>
          <w:rFonts w:ascii="Tele-GroteskEEHal" w:hAnsi="Tele-GroteskEEHal" w:cs="Tahoma"/>
          <w:b/>
          <w:sz w:val="22"/>
          <w:szCs w:val="22"/>
          <w:lang w:val="hr-HR"/>
        </w:rPr>
      </w:pPr>
    </w:p>
    <w:p w:rsidR="003E4626" w:rsidRDefault="003E4626" w:rsidP="00634AC7">
      <w:pPr>
        <w:jc w:val="both"/>
        <w:rPr>
          <w:rFonts w:ascii="Tele-GroteskEEHal" w:hAnsi="Tele-GroteskEEHal" w:cs="Tahoma"/>
          <w:b/>
          <w:sz w:val="22"/>
          <w:szCs w:val="22"/>
          <w:lang w:val="hr-HR"/>
        </w:rPr>
      </w:pPr>
      <w:r w:rsidRPr="00960D6B">
        <w:rPr>
          <w:rFonts w:ascii="Tele-GroteskEEHal" w:hAnsi="Tele-GroteskEEHal" w:cs="Tahoma"/>
          <w:b/>
          <w:sz w:val="22"/>
          <w:szCs w:val="22"/>
          <w:lang w:val="hr-HR"/>
        </w:rPr>
        <w:t>Financijski rezultati Mreže i funkcija podrške</w:t>
      </w:r>
    </w:p>
    <w:p w:rsidR="003E4626" w:rsidRDefault="003E4626" w:rsidP="00634AC7">
      <w:pPr>
        <w:jc w:val="both"/>
        <w:rPr>
          <w:rFonts w:ascii="Tele-GroteskEEHal" w:hAnsi="Tele-GroteskEEHal" w:cs="Tahoma"/>
          <w:b/>
          <w:sz w:val="22"/>
          <w:szCs w:val="22"/>
          <w:lang w:val="hr-HR"/>
        </w:rPr>
      </w:pPr>
    </w:p>
    <w:tbl>
      <w:tblPr>
        <w:tblW w:w="8280" w:type="dxa"/>
        <w:tblInd w:w="108" w:type="dxa"/>
        <w:tblLook w:val="0000"/>
      </w:tblPr>
      <w:tblGrid>
        <w:gridCol w:w="4256"/>
        <w:gridCol w:w="1175"/>
        <w:gridCol w:w="1175"/>
        <w:gridCol w:w="1674"/>
      </w:tblGrid>
      <w:tr w:rsidR="003E4626" w:rsidRPr="00494E6F" w:rsidTr="00494E6F">
        <w:trPr>
          <w:trHeight w:val="799"/>
        </w:trPr>
        <w:tc>
          <w:tcPr>
            <w:tcW w:w="4256" w:type="dxa"/>
            <w:tcBorders>
              <w:top w:val="single" w:sz="4" w:space="0" w:color="auto"/>
              <w:left w:val="nil"/>
              <w:bottom w:val="single" w:sz="4" w:space="0" w:color="auto"/>
              <w:right w:val="nil"/>
            </w:tcBorders>
            <w:shd w:val="clear" w:color="auto" w:fill="E20074"/>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u milijunima kuna</w:t>
            </w:r>
          </w:p>
        </w:tc>
        <w:tc>
          <w:tcPr>
            <w:tcW w:w="1175" w:type="dxa"/>
            <w:tcBorders>
              <w:top w:val="single" w:sz="4" w:space="0" w:color="auto"/>
              <w:left w:val="nil"/>
              <w:bottom w:val="single" w:sz="4" w:space="0" w:color="auto"/>
              <w:right w:val="nil"/>
            </w:tcBorders>
            <w:shd w:val="clear" w:color="auto" w:fill="E20074"/>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xml:space="preserve">Sij.-Ruj. </w:t>
            </w:r>
            <w:r w:rsidRPr="00494E6F">
              <w:rPr>
                <w:rFonts w:ascii="Tele-GroteskEEHal" w:hAnsi="Tele-GroteskEEHal"/>
                <w:b/>
                <w:bCs/>
                <w:color w:val="FFFFFF"/>
                <w:kern w:val="0"/>
                <w:sz w:val="22"/>
                <w:szCs w:val="22"/>
                <w:lang w:val="hr-HR" w:eastAsia="hr-HR"/>
              </w:rPr>
              <w:br/>
              <w:t>2011.</w:t>
            </w:r>
          </w:p>
        </w:tc>
        <w:tc>
          <w:tcPr>
            <w:tcW w:w="1175" w:type="dxa"/>
            <w:tcBorders>
              <w:top w:val="single" w:sz="4" w:space="0" w:color="auto"/>
              <w:left w:val="nil"/>
              <w:bottom w:val="single" w:sz="4" w:space="0" w:color="auto"/>
              <w:right w:val="nil"/>
            </w:tcBorders>
            <w:shd w:val="clear" w:color="auto" w:fill="E20074"/>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xml:space="preserve">Sij.-Ruj. </w:t>
            </w:r>
            <w:r w:rsidRPr="00494E6F">
              <w:rPr>
                <w:rFonts w:ascii="Tele-GroteskEEHal" w:hAnsi="Tele-GroteskEEHal"/>
                <w:b/>
                <w:bCs/>
                <w:color w:val="FFFFFF"/>
                <w:kern w:val="0"/>
                <w:sz w:val="22"/>
                <w:szCs w:val="22"/>
                <w:lang w:val="hr-HR" w:eastAsia="hr-HR"/>
              </w:rPr>
              <w:br/>
              <w:t>2010.</w:t>
            </w:r>
          </w:p>
        </w:tc>
        <w:tc>
          <w:tcPr>
            <w:tcW w:w="1674" w:type="dxa"/>
            <w:tcBorders>
              <w:top w:val="single" w:sz="4" w:space="0" w:color="auto"/>
              <w:left w:val="nil"/>
              <w:bottom w:val="single" w:sz="4" w:space="0" w:color="auto"/>
              <w:right w:val="nil"/>
            </w:tcBorders>
            <w:shd w:val="clear" w:color="auto" w:fill="E20074"/>
            <w:vAlign w:val="center"/>
          </w:tcPr>
          <w:p w:rsidR="003E4626" w:rsidRPr="00494E6F" w:rsidRDefault="003E4626" w:rsidP="00494E6F">
            <w:pPr>
              <w:suppressAutoHyphens w:val="0"/>
              <w:jc w:val="right"/>
              <w:rPr>
                <w:rFonts w:ascii="Tele-GroteskEEHal" w:hAnsi="Tele-GroteskEEHal"/>
                <w:b/>
                <w:bCs/>
                <w:i/>
                <w:iCs/>
                <w:color w:val="FFFFFF"/>
                <w:kern w:val="0"/>
                <w:lang w:val="hr-HR" w:eastAsia="hr-HR"/>
              </w:rPr>
            </w:pPr>
            <w:r w:rsidRPr="00494E6F">
              <w:rPr>
                <w:rFonts w:ascii="Tele-GroteskEEHal" w:hAnsi="Tele-GroteskEEHal"/>
                <w:b/>
                <w:bCs/>
                <w:i/>
                <w:iCs/>
                <w:color w:val="FFFFFF"/>
                <w:kern w:val="0"/>
                <w:sz w:val="22"/>
                <w:szCs w:val="22"/>
                <w:lang w:val="hr-HR" w:eastAsia="hr-HR"/>
              </w:rPr>
              <w:t xml:space="preserve">% promjene </w:t>
            </w:r>
            <w:r w:rsidRPr="00494E6F">
              <w:rPr>
                <w:rFonts w:ascii="Tele-GroteskEEHal" w:hAnsi="Tele-GroteskEEHal"/>
                <w:b/>
                <w:bCs/>
                <w:i/>
                <w:iCs/>
                <w:color w:val="FFFFFF"/>
                <w:kern w:val="0"/>
                <w:sz w:val="22"/>
                <w:szCs w:val="22"/>
                <w:lang w:val="hr-HR" w:eastAsia="hr-HR"/>
              </w:rPr>
              <w:br/>
              <w:t>11/10</w:t>
            </w:r>
          </w:p>
        </w:tc>
      </w:tr>
      <w:tr w:rsidR="003E4626" w:rsidRPr="00494E6F" w:rsidTr="00494E6F">
        <w:trPr>
          <w:trHeight w:val="210"/>
        </w:trPr>
        <w:tc>
          <w:tcPr>
            <w:tcW w:w="4256"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w:t>
            </w:r>
          </w:p>
        </w:tc>
        <w:tc>
          <w:tcPr>
            <w:tcW w:w="11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w:t>
            </w:r>
          </w:p>
        </w:tc>
        <w:tc>
          <w:tcPr>
            <w:tcW w:w="11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 </w:t>
            </w:r>
          </w:p>
        </w:tc>
        <w:tc>
          <w:tcPr>
            <w:tcW w:w="1674" w:type="dxa"/>
            <w:tcBorders>
              <w:top w:val="nil"/>
              <w:left w:val="nil"/>
              <w:bottom w:val="single" w:sz="4" w:space="0" w:color="auto"/>
              <w:right w:val="nil"/>
            </w:tcBorders>
            <w:noWrap/>
            <w:vAlign w:val="center"/>
          </w:tcPr>
          <w:p w:rsidR="003E4626" w:rsidRPr="00494E6F" w:rsidRDefault="003E4626" w:rsidP="00494E6F">
            <w:pPr>
              <w:suppressAutoHyphens w:val="0"/>
              <w:jc w:val="right"/>
              <w:rPr>
                <w:rFonts w:ascii="Tele-GroteskEEHal" w:hAnsi="Tele-GroteskEEHal"/>
                <w:b/>
                <w:bCs/>
                <w:i/>
                <w:iCs/>
                <w:color w:val="FFFFFF"/>
                <w:kern w:val="0"/>
                <w:lang w:val="hr-HR" w:eastAsia="hr-HR"/>
              </w:rPr>
            </w:pPr>
            <w:r w:rsidRPr="00494E6F">
              <w:rPr>
                <w:rFonts w:ascii="Tele-GroteskEEHal" w:hAnsi="Tele-GroteskEEHal"/>
                <w:b/>
                <w:bCs/>
                <w:i/>
                <w:iCs/>
                <w:color w:val="FFFFFF"/>
                <w:kern w:val="0"/>
                <w:sz w:val="22"/>
                <w:szCs w:val="22"/>
                <w:lang w:val="hr-HR" w:eastAsia="hr-HR"/>
              </w:rPr>
              <w:t> </w:t>
            </w:r>
          </w:p>
        </w:tc>
      </w:tr>
      <w:tr w:rsidR="003E4626" w:rsidRPr="00494E6F" w:rsidTr="00494E6F">
        <w:trPr>
          <w:trHeight w:val="342"/>
        </w:trPr>
        <w:tc>
          <w:tcPr>
            <w:tcW w:w="4256"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Ostali prihodi iz redovnog poslovanja</w:t>
            </w:r>
          </w:p>
        </w:tc>
        <w:tc>
          <w:tcPr>
            <w:tcW w:w="1175"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kern w:val="0"/>
                <w:lang w:val="hr-HR" w:eastAsia="hr-HR"/>
              </w:rPr>
            </w:pPr>
            <w:r w:rsidRPr="00494E6F">
              <w:rPr>
                <w:rFonts w:ascii="Tele-GroteskEEHal" w:hAnsi="Tele-GroteskEEHal"/>
                <w:b/>
                <w:bCs/>
                <w:kern w:val="0"/>
                <w:sz w:val="22"/>
                <w:szCs w:val="22"/>
                <w:lang w:val="hr-HR" w:eastAsia="hr-HR"/>
              </w:rPr>
              <w:t>185</w:t>
            </w:r>
          </w:p>
        </w:tc>
        <w:tc>
          <w:tcPr>
            <w:tcW w:w="1175"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kern w:val="0"/>
                <w:lang w:val="hr-HR" w:eastAsia="hr-HR"/>
              </w:rPr>
            </w:pPr>
            <w:r w:rsidRPr="00494E6F">
              <w:rPr>
                <w:rFonts w:ascii="Tele-GroteskEEHal" w:hAnsi="Tele-GroteskEEHal"/>
                <w:b/>
                <w:bCs/>
                <w:kern w:val="0"/>
                <w:sz w:val="22"/>
                <w:szCs w:val="22"/>
                <w:lang w:val="hr-HR" w:eastAsia="hr-HR"/>
              </w:rPr>
              <w:t>104</w:t>
            </w:r>
          </w:p>
        </w:tc>
        <w:tc>
          <w:tcPr>
            <w:tcW w:w="1674"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i/>
                <w:iCs/>
                <w:kern w:val="0"/>
                <w:lang w:val="hr-HR" w:eastAsia="hr-HR"/>
              </w:rPr>
            </w:pPr>
            <w:r w:rsidRPr="00494E6F">
              <w:rPr>
                <w:rFonts w:ascii="Tele-GroteskEEHal" w:hAnsi="Tele-GroteskEEHal"/>
                <w:b/>
                <w:bCs/>
                <w:i/>
                <w:iCs/>
                <w:kern w:val="0"/>
                <w:sz w:val="22"/>
                <w:szCs w:val="22"/>
                <w:lang w:val="hr-HR" w:eastAsia="hr-HR"/>
              </w:rPr>
              <w:t>78,1%</w:t>
            </w:r>
          </w:p>
        </w:tc>
      </w:tr>
      <w:tr w:rsidR="003E4626" w:rsidRPr="00494E6F" w:rsidTr="00494E6F">
        <w:trPr>
          <w:trHeight w:val="195"/>
        </w:trPr>
        <w:tc>
          <w:tcPr>
            <w:tcW w:w="4256" w:type="dxa"/>
            <w:tcBorders>
              <w:top w:val="nil"/>
              <w:left w:val="nil"/>
              <w:bottom w:val="single" w:sz="4" w:space="0" w:color="auto"/>
              <w:right w:val="nil"/>
            </w:tcBorders>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1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1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674" w:type="dxa"/>
            <w:tcBorders>
              <w:top w:val="nil"/>
              <w:left w:val="nil"/>
              <w:bottom w:val="single" w:sz="4" w:space="0" w:color="auto"/>
              <w:right w:val="nil"/>
            </w:tcBorders>
            <w:noWrap/>
            <w:vAlign w:val="center"/>
          </w:tcPr>
          <w:p w:rsidR="003E4626" w:rsidRPr="00494E6F" w:rsidRDefault="003E4626" w:rsidP="00494E6F">
            <w:pPr>
              <w:suppressAutoHyphens w:val="0"/>
              <w:jc w:val="right"/>
              <w:rPr>
                <w:rFonts w:ascii="Tele-GroteskEEHal" w:hAnsi="Tele-GroteskEEHal"/>
                <w:b/>
                <w:bCs/>
                <w:i/>
                <w:iCs/>
                <w:kern w:val="0"/>
                <w:lang w:val="hr-HR" w:eastAsia="hr-HR"/>
              </w:rPr>
            </w:pPr>
            <w:r w:rsidRPr="00494E6F">
              <w:rPr>
                <w:rFonts w:ascii="Tele-GroteskEEHal" w:hAnsi="Tele-GroteskEEHal"/>
                <w:b/>
                <w:bCs/>
                <w:i/>
                <w:iCs/>
                <w:kern w:val="0"/>
                <w:sz w:val="22"/>
                <w:szCs w:val="22"/>
                <w:lang w:val="hr-HR" w:eastAsia="hr-HR"/>
              </w:rPr>
              <w:t> </w:t>
            </w:r>
          </w:p>
        </w:tc>
      </w:tr>
      <w:tr w:rsidR="003E4626" w:rsidRPr="00494E6F" w:rsidTr="00494E6F">
        <w:trPr>
          <w:trHeight w:val="342"/>
        </w:trPr>
        <w:tc>
          <w:tcPr>
            <w:tcW w:w="4256"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Troškovi redovnog poslovanja</w:t>
            </w:r>
          </w:p>
        </w:tc>
        <w:tc>
          <w:tcPr>
            <w:tcW w:w="1175"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kern w:val="0"/>
                <w:lang w:val="hr-HR" w:eastAsia="hr-HR"/>
              </w:rPr>
            </w:pPr>
            <w:r w:rsidRPr="00494E6F">
              <w:rPr>
                <w:rFonts w:ascii="Tele-GroteskEEHal" w:hAnsi="Tele-GroteskEEHal"/>
                <w:b/>
                <w:bCs/>
                <w:kern w:val="0"/>
                <w:sz w:val="22"/>
                <w:szCs w:val="22"/>
                <w:lang w:val="hr-HR" w:eastAsia="hr-HR"/>
              </w:rPr>
              <w:t>1.365</w:t>
            </w:r>
          </w:p>
        </w:tc>
        <w:tc>
          <w:tcPr>
            <w:tcW w:w="1175"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kern w:val="0"/>
                <w:lang w:val="hr-HR" w:eastAsia="hr-HR"/>
              </w:rPr>
            </w:pPr>
            <w:r w:rsidRPr="00494E6F">
              <w:rPr>
                <w:rFonts w:ascii="Tele-GroteskEEHal" w:hAnsi="Tele-GroteskEEHal"/>
                <w:b/>
                <w:bCs/>
                <w:kern w:val="0"/>
                <w:sz w:val="22"/>
                <w:szCs w:val="22"/>
                <w:lang w:val="hr-HR" w:eastAsia="hr-HR"/>
              </w:rPr>
              <w:t>1.459</w:t>
            </w:r>
          </w:p>
        </w:tc>
        <w:tc>
          <w:tcPr>
            <w:tcW w:w="1674" w:type="dxa"/>
            <w:tcBorders>
              <w:top w:val="nil"/>
              <w:left w:val="nil"/>
              <w:bottom w:val="single" w:sz="4" w:space="0" w:color="auto"/>
              <w:right w:val="nil"/>
            </w:tcBorders>
            <w:shd w:val="clear" w:color="auto" w:fill="EAEAEA"/>
            <w:noWrap/>
            <w:vAlign w:val="center"/>
          </w:tcPr>
          <w:p w:rsidR="003E4626" w:rsidRPr="00494E6F" w:rsidRDefault="003E4626" w:rsidP="00494E6F">
            <w:pPr>
              <w:suppressAutoHyphens w:val="0"/>
              <w:jc w:val="right"/>
              <w:rPr>
                <w:rFonts w:ascii="Tele-GroteskEEHal" w:hAnsi="Tele-GroteskEEHal"/>
                <w:b/>
                <w:bCs/>
                <w:i/>
                <w:iCs/>
                <w:kern w:val="0"/>
                <w:lang w:val="hr-HR" w:eastAsia="hr-HR"/>
              </w:rPr>
            </w:pPr>
            <w:r w:rsidRPr="00494E6F">
              <w:rPr>
                <w:rFonts w:ascii="Tele-GroteskEEHal" w:hAnsi="Tele-GroteskEEHal"/>
                <w:b/>
                <w:bCs/>
                <w:i/>
                <w:iCs/>
                <w:kern w:val="0"/>
                <w:sz w:val="22"/>
                <w:szCs w:val="22"/>
                <w:lang w:val="hr-HR" w:eastAsia="hr-HR"/>
              </w:rPr>
              <w:t>-6,5%</w:t>
            </w:r>
          </w:p>
        </w:tc>
      </w:tr>
      <w:tr w:rsidR="003E4626" w:rsidRPr="00494E6F" w:rsidTr="00494E6F">
        <w:trPr>
          <w:trHeight w:val="270"/>
        </w:trPr>
        <w:tc>
          <w:tcPr>
            <w:tcW w:w="4256"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1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175" w:type="dxa"/>
            <w:tcBorders>
              <w:top w:val="nil"/>
              <w:left w:val="nil"/>
              <w:bottom w:val="single" w:sz="4" w:space="0" w:color="auto"/>
              <w:right w:val="nil"/>
            </w:tcBorders>
            <w:noWrap/>
            <w:vAlign w:val="center"/>
          </w:tcPr>
          <w:p w:rsidR="003E4626" w:rsidRPr="00494E6F" w:rsidRDefault="003E4626" w:rsidP="00494E6F">
            <w:pPr>
              <w:suppressAutoHyphens w:val="0"/>
              <w:rPr>
                <w:rFonts w:ascii="Tele-GroteskEEHal" w:hAnsi="Tele-GroteskEEHal"/>
                <w:b/>
                <w:bCs/>
                <w:kern w:val="0"/>
                <w:lang w:val="hr-HR" w:eastAsia="hr-HR"/>
              </w:rPr>
            </w:pPr>
            <w:r w:rsidRPr="00494E6F">
              <w:rPr>
                <w:rFonts w:ascii="Tele-GroteskEEHal" w:hAnsi="Tele-GroteskEEHal"/>
                <w:b/>
                <w:bCs/>
                <w:kern w:val="0"/>
                <w:sz w:val="22"/>
                <w:szCs w:val="22"/>
                <w:lang w:val="hr-HR" w:eastAsia="hr-HR"/>
              </w:rPr>
              <w:t> </w:t>
            </w:r>
          </w:p>
        </w:tc>
        <w:tc>
          <w:tcPr>
            <w:tcW w:w="1674" w:type="dxa"/>
            <w:tcBorders>
              <w:top w:val="nil"/>
              <w:left w:val="nil"/>
              <w:bottom w:val="single" w:sz="4" w:space="0" w:color="auto"/>
              <w:right w:val="nil"/>
            </w:tcBorders>
            <w:noWrap/>
            <w:vAlign w:val="center"/>
          </w:tcPr>
          <w:p w:rsidR="003E4626" w:rsidRPr="00494E6F" w:rsidRDefault="003E4626" w:rsidP="00494E6F">
            <w:pPr>
              <w:suppressAutoHyphens w:val="0"/>
              <w:jc w:val="right"/>
              <w:rPr>
                <w:rFonts w:ascii="Tele-GroteskEEHal" w:hAnsi="Tele-GroteskEEHal"/>
                <w:b/>
                <w:bCs/>
                <w:i/>
                <w:iCs/>
                <w:kern w:val="0"/>
                <w:lang w:val="hr-HR" w:eastAsia="hr-HR"/>
              </w:rPr>
            </w:pPr>
            <w:r w:rsidRPr="00494E6F">
              <w:rPr>
                <w:rFonts w:ascii="Tele-GroteskEEHal" w:hAnsi="Tele-GroteskEEHal"/>
                <w:b/>
                <w:bCs/>
                <w:i/>
                <w:iCs/>
                <w:kern w:val="0"/>
                <w:sz w:val="22"/>
                <w:szCs w:val="22"/>
                <w:lang w:val="hr-HR" w:eastAsia="hr-HR"/>
              </w:rPr>
              <w:t> </w:t>
            </w:r>
          </w:p>
        </w:tc>
      </w:tr>
      <w:tr w:rsidR="003E4626" w:rsidRPr="00494E6F" w:rsidTr="00494E6F">
        <w:trPr>
          <w:trHeight w:val="342"/>
        </w:trPr>
        <w:tc>
          <w:tcPr>
            <w:tcW w:w="4256"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EBITDA Doprinos</w:t>
            </w:r>
          </w:p>
        </w:tc>
        <w:tc>
          <w:tcPr>
            <w:tcW w:w="1175"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-1.180</w:t>
            </w:r>
          </w:p>
        </w:tc>
        <w:tc>
          <w:tcPr>
            <w:tcW w:w="1175"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color w:val="FFFFFF"/>
                <w:kern w:val="0"/>
                <w:lang w:val="hr-HR" w:eastAsia="hr-HR"/>
              </w:rPr>
            </w:pPr>
            <w:r w:rsidRPr="00494E6F">
              <w:rPr>
                <w:rFonts w:ascii="Tele-GroteskEEHal" w:hAnsi="Tele-GroteskEEHal"/>
                <w:b/>
                <w:bCs/>
                <w:color w:val="FFFFFF"/>
                <w:kern w:val="0"/>
                <w:sz w:val="22"/>
                <w:szCs w:val="22"/>
                <w:lang w:val="hr-HR" w:eastAsia="hr-HR"/>
              </w:rPr>
              <w:t>-1.355</w:t>
            </w:r>
          </w:p>
        </w:tc>
        <w:tc>
          <w:tcPr>
            <w:tcW w:w="1674" w:type="dxa"/>
            <w:tcBorders>
              <w:top w:val="nil"/>
              <w:left w:val="nil"/>
              <w:bottom w:val="single" w:sz="4" w:space="0" w:color="auto"/>
              <w:right w:val="nil"/>
            </w:tcBorders>
            <w:shd w:val="clear" w:color="auto" w:fill="E20074"/>
            <w:noWrap/>
            <w:vAlign w:val="center"/>
          </w:tcPr>
          <w:p w:rsidR="003E4626" w:rsidRPr="00494E6F" w:rsidRDefault="003E4626" w:rsidP="00494E6F">
            <w:pPr>
              <w:suppressAutoHyphens w:val="0"/>
              <w:jc w:val="right"/>
              <w:rPr>
                <w:rFonts w:ascii="Tele-GroteskEEHal" w:hAnsi="Tele-GroteskEEHal"/>
                <w:b/>
                <w:bCs/>
                <w:i/>
                <w:iCs/>
                <w:color w:val="FFFFFF"/>
                <w:kern w:val="0"/>
                <w:lang w:val="hr-HR" w:eastAsia="hr-HR"/>
              </w:rPr>
            </w:pPr>
            <w:r w:rsidRPr="00494E6F">
              <w:rPr>
                <w:rFonts w:ascii="Tele-GroteskEEHal" w:hAnsi="Tele-GroteskEEHal"/>
                <w:b/>
                <w:bCs/>
                <w:i/>
                <w:iCs/>
                <w:color w:val="FFFFFF"/>
                <w:kern w:val="0"/>
                <w:sz w:val="22"/>
                <w:szCs w:val="22"/>
                <w:lang w:val="hr-HR" w:eastAsia="hr-HR"/>
              </w:rPr>
              <w:t>-12,9%</w:t>
            </w:r>
          </w:p>
        </w:tc>
      </w:tr>
    </w:tbl>
    <w:p w:rsidR="003E4626" w:rsidRPr="00960D6B" w:rsidRDefault="003E4626" w:rsidP="00634AC7">
      <w:pPr>
        <w:jc w:val="both"/>
        <w:rPr>
          <w:rFonts w:ascii="Tele-GroteskEEHal" w:hAnsi="Tele-GroteskEEHal" w:cs="Tahoma"/>
          <w:b/>
          <w:sz w:val="22"/>
          <w:szCs w:val="22"/>
          <w:lang w:val="hr-HR"/>
        </w:rPr>
      </w:pPr>
    </w:p>
    <w:p w:rsidR="003E4626" w:rsidRPr="00960D6B" w:rsidRDefault="003E4626" w:rsidP="00E26948">
      <w:pPr>
        <w:jc w:val="both"/>
        <w:rPr>
          <w:rFonts w:ascii="Tele-GroteskEEHal" w:hAnsi="Tele-GroteskEEHal"/>
          <w:sz w:val="22"/>
          <w:szCs w:val="22"/>
          <w:lang w:val="hr-HR"/>
        </w:rPr>
      </w:pPr>
      <w:bookmarkStart w:id="2" w:name="_Toc290889768"/>
      <w:r w:rsidRPr="00960D6B">
        <w:rPr>
          <w:rFonts w:ascii="Tele-GroteskEEHal" w:hAnsi="Tele-GroteskEEHal"/>
          <w:sz w:val="22"/>
          <w:szCs w:val="22"/>
          <w:lang w:val="hr-HR"/>
        </w:rPr>
        <w:t xml:space="preserve">U Mreži i funkcijama podrške povećanje ostalih prihoda od redovnog poslovanja od 78,1% rezultat je jednokratnog učinka ukidanja rezerviranja i </w:t>
      </w:r>
      <w:r w:rsidRPr="00960D6B">
        <w:rPr>
          <w:rFonts w:ascii="Tele-GroteskEEHal" w:hAnsi="Tele-GroteskEEHal"/>
          <w:sz w:val="22"/>
          <w:szCs w:val="22"/>
          <w:u w:val="single"/>
          <w:lang w:val="hr-HR"/>
        </w:rPr>
        <w:t>povećanja prihoda od opomena</w:t>
      </w:r>
      <w:r w:rsidRPr="00960D6B">
        <w:rPr>
          <w:rFonts w:ascii="Tele-GroteskEEHal" w:hAnsi="Tele-GroteskEEHal"/>
          <w:sz w:val="22"/>
          <w:szCs w:val="22"/>
          <w:lang w:val="hr-HR"/>
        </w:rPr>
        <w:t>. Troškovi redovnog poslovanja bili su manji u usporedbi s prošlom godinom za 6,5% zbog manjih izdataka održavanja i troškova usluga. Općenito, navedeno je rezultiralo manjim negativnim doprinosom EBITDA-i od -1.180 milijuna kuna u devet mjeseci do 30. rujna 2011. (siječanj-rujan 2010.: -1.355 milijuna kuna).</w:t>
      </w:r>
    </w:p>
    <w:p w:rsidR="003E4626" w:rsidRPr="00960D6B" w:rsidRDefault="003E4626" w:rsidP="000962AA">
      <w:pPr>
        <w:jc w:val="both"/>
        <w:rPr>
          <w:rFonts w:ascii="Tele-GroteskEEHal" w:hAnsi="Tele-GroteskEEHal"/>
          <w:sz w:val="22"/>
          <w:szCs w:val="22"/>
          <w:lang w:val="hr-HR"/>
        </w:rPr>
      </w:pPr>
    </w:p>
    <w:p w:rsidR="003E4626" w:rsidRDefault="003E4626" w:rsidP="00B8254D">
      <w:pPr>
        <w:jc w:val="both"/>
        <w:rPr>
          <w:rFonts w:ascii="Tele-GroteskEEHal" w:hAnsi="Tele-GroteskEEHal" w:cs="Arial"/>
          <w:b/>
          <w:lang w:val="hr-HR"/>
        </w:rPr>
      </w:pPr>
    </w:p>
    <w:p w:rsidR="003E4626" w:rsidRPr="00960D6B" w:rsidRDefault="003E4626" w:rsidP="00B8254D">
      <w:pPr>
        <w:jc w:val="both"/>
        <w:rPr>
          <w:rFonts w:ascii="Tele-GroteskEEHal" w:hAnsi="Tele-GroteskEEHal" w:cs="Arial"/>
          <w:b/>
          <w:lang w:val="hr-HR"/>
        </w:rPr>
      </w:pPr>
      <w:r w:rsidRPr="00960D6B">
        <w:rPr>
          <w:rFonts w:ascii="Tele-GroteskEEHal" w:hAnsi="Tele-GroteskEEHal" w:cs="Arial"/>
          <w:b/>
          <w:lang w:val="hr-HR"/>
        </w:rPr>
        <w:t>Mreža i uslužne platforme</w:t>
      </w:r>
    </w:p>
    <w:p w:rsidR="003E4626" w:rsidRPr="00960D6B" w:rsidRDefault="003E4626" w:rsidP="00B8254D">
      <w:pPr>
        <w:jc w:val="both"/>
        <w:rPr>
          <w:rFonts w:ascii="Tele-GroteskEEHal" w:hAnsi="Tele-GroteskEEHal"/>
          <w:bCs/>
          <w:color w:val="FF0000"/>
          <w:sz w:val="22"/>
          <w:szCs w:val="22"/>
          <w:lang w:val="hr-HR"/>
        </w:rPr>
      </w:pPr>
    </w:p>
    <w:p w:rsidR="003E4626" w:rsidRPr="00960D6B" w:rsidRDefault="003E4626" w:rsidP="00B8254D">
      <w:pPr>
        <w:jc w:val="both"/>
        <w:rPr>
          <w:rFonts w:ascii="Tele-GroteskEEHal" w:hAnsi="Tele-GroteskEEHal" w:cs="Tele-Grotesk-Norm"/>
          <w:sz w:val="22"/>
          <w:szCs w:val="22"/>
          <w:lang w:val="hr-HR"/>
        </w:rPr>
      </w:pPr>
      <w:r w:rsidRPr="00960D6B">
        <w:rPr>
          <w:rFonts w:ascii="Tele-GroteskEEHal" w:hAnsi="Tele-GroteskEEHal" w:cs="Tele-Grotesk-Norm"/>
          <w:sz w:val="22"/>
          <w:szCs w:val="22"/>
          <w:lang w:val="hr-HR"/>
        </w:rPr>
        <w:t>Mreža i uslužne platforme predstavljaju temeljnu infrastrukturu T-HT-a i kao takve se stalno nadograđuju i unaprjeđuju u skladu sa strategijom Grupe. S konsolidacijom poslovanja T-HT-a, Grupa je započela konvergenciju funkcionalnosti resursa u nepokretnim i pokretnim mrežama na zajedničkim uslužnim platformama te tako ostvarila bolju dostupnost usluga i veću isplativost troškova. U devet mjeseci do 30. rujna 2011. T-HT je radio na daljnjem razvoju mrežne infrastrukture kroz povećanje kapaciteta za širokopojasni pristup i uspostavljanje zajedničke, nepokretne i pokretne, transportne i jezgrene mreže.</w:t>
      </w:r>
    </w:p>
    <w:p w:rsidR="003E4626" w:rsidRPr="00960D6B" w:rsidRDefault="003E4626" w:rsidP="00B8254D">
      <w:pPr>
        <w:jc w:val="both"/>
        <w:rPr>
          <w:rFonts w:ascii="Tele-GroteskEEHal" w:hAnsi="Tele-GroteskEEHal" w:cs="Tele-Grotesk-Norm"/>
          <w:sz w:val="22"/>
          <w:szCs w:val="22"/>
          <w:lang w:val="hr-HR"/>
        </w:rPr>
      </w:pPr>
    </w:p>
    <w:p w:rsidR="003E4626" w:rsidRPr="00960D6B" w:rsidRDefault="003E4626" w:rsidP="00B8254D">
      <w:pPr>
        <w:jc w:val="both"/>
        <w:rPr>
          <w:rFonts w:ascii="Tele-GroteskEEHal" w:hAnsi="Tele-GroteskEEHal" w:cs="Tele-Grotesk-Norm"/>
          <w:sz w:val="22"/>
          <w:szCs w:val="22"/>
          <w:lang w:val="hr-HR"/>
        </w:rPr>
      </w:pPr>
      <w:r w:rsidRPr="00960D6B">
        <w:rPr>
          <w:rFonts w:ascii="Tele-GroteskEEHal" w:hAnsi="Tele-GroteskEEHal" w:cs="Tele-Grotesk-Norm"/>
          <w:sz w:val="22"/>
          <w:szCs w:val="22"/>
          <w:lang w:val="hr-HR"/>
        </w:rPr>
        <w:t>U području nepokretne mreže T-HT je usvojio strategiju pružanja svih usluga preko jednoga zajedničkoga širokopojasnog porta te time potaknuo transformaciju svoje pristupne mreže kroz izgradnju nove optičke pristupne mreže, uključujući optičku pristupnu platformu (GPON), i modernizaciju bakrene pristupne mreže. Nadalje, Grupa nastavlja s funkcionalnom nadogradnjom postojeće PSTN mreže kako bi omogućila VoIP telefoniju preko širokopojasnog pristupa.</w:t>
      </w:r>
    </w:p>
    <w:p w:rsidR="003E4626" w:rsidRPr="00960D6B" w:rsidRDefault="003E4626" w:rsidP="00B8254D">
      <w:pPr>
        <w:jc w:val="both"/>
        <w:rPr>
          <w:rFonts w:ascii="Tele-GroteskEEHal" w:hAnsi="Tele-GroteskEEHal" w:cs="Tele-Grotesk-Norm"/>
          <w:sz w:val="22"/>
          <w:szCs w:val="22"/>
          <w:lang w:val="hr-HR"/>
        </w:rPr>
      </w:pPr>
    </w:p>
    <w:p w:rsidR="003E4626" w:rsidRPr="00960D6B" w:rsidRDefault="003E4626" w:rsidP="00B8254D">
      <w:pPr>
        <w:jc w:val="both"/>
        <w:rPr>
          <w:rFonts w:ascii="Tele-GroteskEEHal" w:hAnsi="Tele-GroteskEEHal" w:cs="Tele-Grotesk-Norm"/>
          <w:sz w:val="22"/>
          <w:szCs w:val="22"/>
          <w:lang w:val="hr-HR"/>
        </w:rPr>
      </w:pPr>
      <w:r w:rsidRPr="00960D6B">
        <w:rPr>
          <w:rFonts w:ascii="Tele-GroteskEEHal" w:hAnsi="Tele-GroteskEEHal" w:cs="Tele-Grotesk-Norm"/>
          <w:sz w:val="22"/>
          <w:szCs w:val="22"/>
          <w:lang w:val="hr-HR"/>
        </w:rPr>
        <w:t>U području pokretne mreže neprekidna transformacija radijske pristupne i jezgrene mreže potpomoći će razvoj i brzo uvođenje novih, ekonomski optimalnih tehnologija (npr. HSPA, LTE), pri čemu će se u obzir uzeti maksimalna iskoristivost postojećih infrastrukturnih i frekvencijskih resursa. Širokopojasni pristup u pokretnoj mreži (MBB) bio je u snažnom fokusu razvoja kroz postojeće i novo uvedene tehnologije kao što je UMTS900 kako bi se unaprijedila pokrivenost podatkovnim uslugama. Nastavlja se širenje mreže kroz izgradnju novih infrastrukturnih točaka te povećanje kapaciteta u cilju pružanja podrške snažnom rastu podatkovnog prometa.</w:t>
      </w:r>
    </w:p>
    <w:p w:rsidR="003E4626" w:rsidRPr="00960D6B" w:rsidRDefault="003E4626" w:rsidP="00B8254D">
      <w:pPr>
        <w:jc w:val="both"/>
        <w:rPr>
          <w:rFonts w:ascii="Tele-GroteskEEHal" w:hAnsi="Tele-GroteskEEHal"/>
          <w:bCs/>
          <w:color w:val="FF0000"/>
          <w:sz w:val="22"/>
          <w:szCs w:val="22"/>
          <w:lang w:val="hr-HR"/>
        </w:rPr>
      </w:pPr>
    </w:p>
    <w:p w:rsidR="003E4626" w:rsidRPr="00960D6B" w:rsidRDefault="003E4626" w:rsidP="000962AA">
      <w:pPr>
        <w:jc w:val="both"/>
        <w:rPr>
          <w:rFonts w:ascii="Tele-GroteskEEHal" w:hAnsi="Tele-GroteskEEHal"/>
          <w:sz w:val="22"/>
          <w:szCs w:val="22"/>
          <w:lang w:val="hr-HR"/>
        </w:rPr>
      </w:pPr>
    </w:p>
    <w:p w:rsidR="003E4626" w:rsidRPr="00960D6B" w:rsidRDefault="003E4626" w:rsidP="000962AA">
      <w:pPr>
        <w:jc w:val="both"/>
        <w:rPr>
          <w:rFonts w:ascii="Tele-GroteskEEHal" w:hAnsi="Tele-GroteskEEHal"/>
          <w:sz w:val="22"/>
          <w:szCs w:val="22"/>
          <w:lang w:val="hr-HR"/>
        </w:rPr>
      </w:pPr>
    </w:p>
    <w:p w:rsidR="003E4626" w:rsidRPr="00960D6B" w:rsidRDefault="003E4626" w:rsidP="000962AA">
      <w:pPr>
        <w:jc w:val="both"/>
        <w:rPr>
          <w:rFonts w:ascii="Tele-GroteskEEHal" w:hAnsi="Tele-GroteskEEHal"/>
          <w:sz w:val="22"/>
          <w:szCs w:val="22"/>
          <w:lang w:val="hr-HR"/>
        </w:rPr>
      </w:pPr>
    </w:p>
    <w:p w:rsidR="003E4626" w:rsidRPr="00960D6B" w:rsidRDefault="003E4626" w:rsidP="000962AA">
      <w:pPr>
        <w:jc w:val="both"/>
        <w:rPr>
          <w:rFonts w:ascii="Tele-GroteskEEHal" w:hAnsi="Tele-GroteskEEHal"/>
          <w:sz w:val="22"/>
          <w:szCs w:val="22"/>
          <w:lang w:val="hr-HR"/>
        </w:rPr>
      </w:pPr>
    </w:p>
    <w:p w:rsidR="003E4626" w:rsidRDefault="003E4626" w:rsidP="000962AA">
      <w:pPr>
        <w:jc w:val="both"/>
        <w:rPr>
          <w:rFonts w:ascii="Tele-GroteskEEHal" w:hAnsi="Tele-GroteskEEHal"/>
          <w:sz w:val="22"/>
          <w:szCs w:val="22"/>
          <w:lang w:val="hr-HR"/>
        </w:rPr>
      </w:pPr>
    </w:p>
    <w:p w:rsidR="003E4626" w:rsidRDefault="003E4626" w:rsidP="000962AA">
      <w:pPr>
        <w:jc w:val="both"/>
        <w:rPr>
          <w:rFonts w:ascii="Tele-GroteskEEHal" w:hAnsi="Tele-GroteskEEHal"/>
          <w:sz w:val="22"/>
          <w:szCs w:val="22"/>
          <w:lang w:val="hr-HR"/>
        </w:rPr>
      </w:pPr>
    </w:p>
    <w:bookmarkEnd w:id="2"/>
    <w:p w:rsidR="003E4626" w:rsidRPr="00960D6B" w:rsidRDefault="003E4626" w:rsidP="00701657">
      <w:pPr>
        <w:pStyle w:val="BodyText"/>
        <w:rPr>
          <w:rFonts w:ascii="Tele-GroteskEEHal" w:hAnsi="Tele-GroteskEEHal"/>
          <w:b/>
          <w:sz w:val="28"/>
          <w:szCs w:val="28"/>
          <w:lang w:val="hr-HR"/>
        </w:rPr>
      </w:pPr>
      <w:r w:rsidRPr="00960D6B">
        <w:rPr>
          <w:rFonts w:ascii="Tele-GroteskEEHal" w:hAnsi="Tele-GroteskEEHal"/>
          <w:b/>
          <w:sz w:val="28"/>
          <w:szCs w:val="28"/>
          <w:lang w:val="hr-HR"/>
        </w:rPr>
        <w:t>Izvješće Grupe T-HT za treće tromjesečje 2011.</w:t>
      </w:r>
    </w:p>
    <w:p w:rsidR="003E4626" w:rsidRPr="00960D6B" w:rsidRDefault="003E4626" w:rsidP="00701657">
      <w:pPr>
        <w:pStyle w:val="BodyText"/>
        <w:rPr>
          <w:rFonts w:ascii="Tele-GroteskEEHal" w:hAnsi="Tele-GroteskEEHal"/>
          <w:color w:val="1F497D"/>
          <w:sz w:val="22"/>
          <w:szCs w:val="22"/>
          <w:lang w:val="hr-HR"/>
        </w:rPr>
      </w:pPr>
    </w:p>
    <w:p w:rsidR="003E4626" w:rsidRDefault="003E4626" w:rsidP="00701657">
      <w:pPr>
        <w:spacing w:after="120"/>
        <w:jc w:val="both"/>
        <w:outlineLvl w:val="0"/>
        <w:rPr>
          <w:rFonts w:ascii="Tele-GroteskEEHal" w:hAnsi="Tele-GroteskEEHal" w:cs="Arial"/>
          <w:b/>
          <w:bCs/>
          <w:sz w:val="22"/>
          <w:szCs w:val="22"/>
          <w:lang w:val="hr-HR"/>
        </w:rPr>
      </w:pPr>
      <w:r w:rsidRPr="00960D6B">
        <w:rPr>
          <w:rFonts w:ascii="Tele-GroteskEEHal" w:hAnsi="Tele-GroteskEEHal" w:cs="Arial"/>
          <w:b/>
          <w:bCs/>
          <w:sz w:val="22"/>
          <w:szCs w:val="22"/>
          <w:lang w:val="hr-HR"/>
        </w:rPr>
        <w:t>Sažetak ključnih financijskih pokazatelja</w:t>
      </w:r>
    </w:p>
    <w:tbl>
      <w:tblPr>
        <w:tblW w:w="7360" w:type="dxa"/>
        <w:tblInd w:w="108" w:type="dxa"/>
        <w:tblLook w:val="0000"/>
      </w:tblPr>
      <w:tblGrid>
        <w:gridCol w:w="3437"/>
        <w:gridCol w:w="1234"/>
        <w:gridCol w:w="1234"/>
        <w:gridCol w:w="1455"/>
      </w:tblGrid>
      <w:tr w:rsidR="003E4626" w:rsidRPr="00911A8B" w:rsidTr="00911A8B">
        <w:trPr>
          <w:trHeight w:val="300"/>
        </w:trPr>
        <w:tc>
          <w:tcPr>
            <w:tcW w:w="3437" w:type="dxa"/>
            <w:vMerge w:val="restart"/>
            <w:tcBorders>
              <w:top w:val="nil"/>
              <w:left w:val="nil"/>
              <w:bottom w:val="nil"/>
              <w:right w:val="nil"/>
            </w:tcBorders>
            <w:shd w:val="clear" w:color="auto" w:fill="E20074"/>
            <w:noWrap/>
            <w:vAlign w:val="center"/>
          </w:tcPr>
          <w:p w:rsidR="003E4626" w:rsidRPr="00911A8B" w:rsidRDefault="003E4626" w:rsidP="00911A8B">
            <w:pPr>
              <w:suppressAutoHyphens w:val="0"/>
              <w:rPr>
                <w:rFonts w:ascii="Tele-GroteskEEHal" w:hAnsi="Tele-GroteskEEHal"/>
                <w:b/>
                <w:bCs/>
                <w:color w:val="FFFFFF"/>
                <w:kern w:val="0"/>
                <w:lang w:val="hr-HR" w:eastAsia="hr-HR"/>
              </w:rPr>
            </w:pPr>
            <w:r w:rsidRPr="00911A8B">
              <w:rPr>
                <w:rFonts w:ascii="Tele-GroteskEEHal" w:hAnsi="Tele-GroteskEEHal"/>
                <w:b/>
                <w:bCs/>
                <w:color w:val="FFFFFF"/>
                <w:kern w:val="0"/>
                <w:sz w:val="22"/>
                <w:szCs w:val="22"/>
                <w:lang w:val="hr-HR" w:eastAsia="hr-HR"/>
              </w:rPr>
              <w:t>in HRK million</w:t>
            </w:r>
          </w:p>
        </w:tc>
        <w:tc>
          <w:tcPr>
            <w:tcW w:w="1234" w:type="dxa"/>
            <w:vMerge w:val="restart"/>
            <w:tcBorders>
              <w:top w:val="nil"/>
              <w:left w:val="nil"/>
              <w:bottom w:val="nil"/>
              <w:right w:val="nil"/>
            </w:tcBorders>
            <w:shd w:val="clear" w:color="auto" w:fill="E20074"/>
            <w:vAlign w:val="center"/>
          </w:tcPr>
          <w:p w:rsidR="003E4626" w:rsidRPr="00911A8B" w:rsidRDefault="003E4626" w:rsidP="00911A8B">
            <w:pPr>
              <w:suppressAutoHyphens w:val="0"/>
              <w:jc w:val="right"/>
              <w:rPr>
                <w:rFonts w:ascii="Tele-GroteskEEHal" w:hAnsi="Tele-GroteskEEHal"/>
                <w:b/>
                <w:bCs/>
                <w:color w:val="FFFFFF"/>
                <w:kern w:val="0"/>
                <w:lang w:val="hr-HR" w:eastAsia="hr-HR"/>
              </w:rPr>
            </w:pPr>
            <w:r>
              <w:rPr>
                <w:rFonts w:ascii="Tele-GroteskEEHal" w:hAnsi="Tele-GroteskEEHal"/>
                <w:b/>
                <w:bCs/>
                <w:color w:val="FFFFFF"/>
                <w:kern w:val="0"/>
                <w:sz w:val="22"/>
                <w:szCs w:val="22"/>
                <w:lang w:val="hr-HR" w:eastAsia="hr-HR"/>
              </w:rPr>
              <w:t>Srp.-R</w:t>
            </w:r>
            <w:r w:rsidRPr="00911A8B">
              <w:rPr>
                <w:rFonts w:ascii="Tele-GroteskEEHal" w:hAnsi="Tele-GroteskEEHal"/>
                <w:b/>
                <w:bCs/>
                <w:color w:val="FFFFFF"/>
                <w:kern w:val="0"/>
                <w:sz w:val="22"/>
                <w:szCs w:val="22"/>
                <w:lang w:val="hr-HR" w:eastAsia="hr-HR"/>
              </w:rPr>
              <w:t>uj. 2011</w:t>
            </w:r>
          </w:p>
        </w:tc>
        <w:tc>
          <w:tcPr>
            <w:tcW w:w="1234" w:type="dxa"/>
            <w:vMerge w:val="restart"/>
            <w:tcBorders>
              <w:top w:val="nil"/>
              <w:left w:val="nil"/>
              <w:bottom w:val="nil"/>
              <w:right w:val="nil"/>
            </w:tcBorders>
            <w:shd w:val="clear" w:color="auto" w:fill="E20074"/>
            <w:vAlign w:val="center"/>
          </w:tcPr>
          <w:p w:rsidR="003E4626" w:rsidRPr="00911A8B" w:rsidRDefault="003E4626" w:rsidP="00911A8B">
            <w:pPr>
              <w:suppressAutoHyphens w:val="0"/>
              <w:jc w:val="right"/>
              <w:rPr>
                <w:rFonts w:ascii="Tele-GroteskEEHal" w:hAnsi="Tele-GroteskEEHal"/>
                <w:b/>
                <w:bCs/>
                <w:color w:val="FFFFFF"/>
                <w:kern w:val="0"/>
                <w:lang w:val="hr-HR" w:eastAsia="hr-HR"/>
              </w:rPr>
            </w:pPr>
            <w:r>
              <w:rPr>
                <w:rFonts w:ascii="Tele-GroteskEEHal" w:hAnsi="Tele-GroteskEEHal"/>
                <w:b/>
                <w:bCs/>
                <w:color w:val="FFFFFF"/>
                <w:kern w:val="0"/>
                <w:sz w:val="22"/>
                <w:szCs w:val="22"/>
                <w:lang w:val="hr-HR" w:eastAsia="hr-HR"/>
              </w:rPr>
              <w:t>Srp.-R</w:t>
            </w:r>
            <w:r w:rsidRPr="00911A8B">
              <w:rPr>
                <w:rFonts w:ascii="Tele-GroteskEEHal" w:hAnsi="Tele-GroteskEEHal"/>
                <w:b/>
                <w:bCs/>
                <w:color w:val="FFFFFF"/>
                <w:kern w:val="0"/>
                <w:sz w:val="22"/>
                <w:szCs w:val="22"/>
                <w:lang w:val="hr-HR" w:eastAsia="hr-HR"/>
              </w:rPr>
              <w:t>uj. 2010</w:t>
            </w:r>
          </w:p>
        </w:tc>
        <w:tc>
          <w:tcPr>
            <w:tcW w:w="1455" w:type="dxa"/>
            <w:vMerge w:val="restart"/>
            <w:tcBorders>
              <w:top w:val="nil"/>
              <w:left w:val="nil"/>
              <w:bottom w:val="nil"/>
              <w:right w:val="nil"/>
            </w:tcBorders>
            <w:shd w:val="clear" w:color="auto" w:fill="E20074"/>
            <w:vAlign w:val="center"/>
          </w:tcPr>
          <w:p w:rsidR="003E4626" w:rsidRPr="00911A8B" w:rsidRDefault="003E4626" w:rsidP="00911A8B">
            <w:pPr>
              <w:suppressAutoHyphens w:val="0"/>
              <w:jc w:val="right"/>
              <w:rPr>
                <w:rFonts w:ascii="Tele-GroteskEEHal" w:hAnsi="Tele-GroteskEEHal"/>
                <w:b/>
                <w:bCs/>
                <w:i/>
                <w:iCs/>
                <w:color w:val="FFFFFF"/>
                <w:kern w:val="0"/>
                <w:lang w:val="hr-HR" w:eastAsia="hr-HR"/>
              </w:rPr>
            </w:pPr>
            <w:r w:rsidRPr="00911A8B">
              <w:rPr>
                <w:rFonts w:ascii="Tele-GroteskEEHal" w:hAnsi="Tele-GroteskEEHal"/>
                <w:b/>
                <w:bCs/>
                <w:i/>
                <w:iCs/>
                <w:color w:val="FFFFFF"/>
                <w:kern w:val="0"/>
                <w:sz w:val="22"/>
                <w:szCs w:val="22"/>
                <w:lang w:val="hr-HR" w:eastAsia="hr-HR"/>
              </w:rPr>
              <w:t xml:space="preserve">% promjene </w:t>
            </w:r>
            <w:r w:rsidRPr="00911A8B">
              <w:rPr>
                <w:rFonts w:ascii="Tele-GroteskEEHal" w:hAnsi="Tele-GroteskEEHal"/>
                <w:b/>
                <w:bCs/>
                <w:i/>
                <w:iCs/>
                <w:color w:val="FFFFFF"/>
                <w:kern w:val="0"/>
                <w:sz w:val="22"/>
                <w:szCs w:val="22"/>
                <w:lang w:val="hr-HR" w:eastAsia="hr-HR"/>
              </w:rPr>
              <w:br/>
              <w:t>11/10</w:t>
            </w:r>
          </w:p>
        </w:tc>
      </w:tr>
      <w:tr w:rsidR="003E4626" w:rsidRPr="00911A8B" w:rsidTr="00911A8B">
        <w:trPr>
          <w:trHeight w:val="439"/>
        </w:trPr>
        <w:tc>
          <w:tcPr>
            <w:tcW w:w="3437" w:type="dxa"/>
            <w:vMerge/>
            <w:tcBorders>
              <w:top w:val="nil"/>
              <w:left w:val="nil"/>
              <w:bottom w:val="nil"/>
              <w:right w:val="nil"/>
            </w:tcBorders>
            <w:vAlign w:val="center"/>
          </w:tcPr>
          <w:p w:rsidR="003E4626" w:rsidRPr="00911A8B" w:rsidRDefault="003E4626" w:rsidP="00911A8B">
            <w:pPr>
              <w:suppressAutoHyphens w:val="0"/>
              <w:rPr>
                <w:rFonts w:ascii="Tele-GroteskEEHal" w:hAnsi="Tele-GroteskEEHal"/>
                <w:b/>
                <w:bCs/>
                <w:color w:val="FFFFFF"/>
                <w:kern w:val="0"/>
                <w:lang w:val="hr-HR" w:eastAsia="hr-HR"/>
              </w:rPr>
            </w:pPr>
          </w:p>
        </w:tc>
        <w:tc>
          <w:tcPr>
            <w:tcW w:w="1234" w:type="dxa"/>
            <w:vMerge/>
            <w:tcBorders>
              <w:top w:val="nil"/>
              <w:left w:val="nil"/>
              <w:bottom w:val="nil"/>
              <w:right w:val="nil"/>
            </w:tcBorders>
            <w:vAlign w:val="center"/>
          </w:tcPr>
          <w:p w:rsidR="003E4626" w:rsidRPr="00911A8B" w:rsidRDefault="003E4626" w:rsidP="00911A8B">
            <w:pPr>
              <w:suppressAutoHyphens w:val="0"/>
              <w:rPr>
                <w:rFonts w:ascii="Tele-GroteskEEHal" w:hAnsi="Tele-GroteskEEHal"/>
                <w:b/>
                <w:bCs/>
                <w:color w:val="FFFFFF"/>
                <w:kern w:val="0"/>
                <w:lang w:val="hr-HR" w:eastAsia="hr-HR"/>
              </w:rPr>
            </w:pPr>
          </w:p>
        </w:tc>
        <w:tc>
          <w:tcPr>
            <w:tcW w:w="1234" w:type="dxa"/>
            <w:vMerge/>
            <w:tcBorders>
              <w:top w:val="nil"/>
              <w:left w:val="nil"/>
              <w:bottom w:val="nil"/>
              <w:right w:val="nil"/>
            </w:tcBorders>
            <w:vAlign w:val="center"/>
          </w:tcPr>
          <w:p w:rsidR="003E4626" w:rsidRPr="00911A8B" w:rsidRDefault="003E4626" w:rsidP="00911A8B">
            <w:pPr>
              <w:suppressAutoHyphens w:val="0"/>
              <w:rPr>
                <w:rFonts w:ascii="Tele-GroteskEEHal" w:hAnsi="Tele-GroteskEEHal"/>
                <w:b/>
                <w:bCs/>
                <w:color w:val="FFFFFF"/>
                <w:kern w:val="0"/>
                <w:lang w:val="hr-HR" w:eastAsia="hr-HR"/>
              </w:rPr>
            </w:pPr>
          </w:p>
        </w:tc>
        <w:tc>
          <w:tcPr>
            <w:tcW w:w="1455" w:type="dxa"/>
            <w:vMerge/>
            <w:tcBorders>
              <w:top w:val="nil"/>
              <w:left w:val="nil"/>
              <w:bottom w:val="nil"/>
              <w:right w:val="nil"/>
            </w:tcBorders>
            <w:vAlign w:val="center"/>
          </w:tcPr>
          <w:p w:rsidR="003E4626" w:rsidRPr="00911A8B" w:rsidRDefault="003E4626" w:rsidP="00911A8B">
            <w:pPr>
              <w:suppressAutoHyphens w:val="0"/>
              <w:rPr>
                <w:rFonts w:ascii="Tele-GroteskEEHal" w:hAnsi="Tele-GroteskEEHal"/>
                <w:b/>
                <w:bCs/>
                <w:i/>
                <w:iCs/>
                <w:color w:val="FFFFFF"/>
                <w:kern w:val="0"/>
                <w:lang w:val="hr-HR" w:eastAsia="hr-HR"/>
              </w:rPr>
            </w:pPr>
          </w:p>
        </w:tc>
      </w:tr>
      <w:tr w:rsidR="003E4626" w:rsidRPr="00911A8B" w:rsidTr="00911A8B">
        <w:trPr>
          <w:trHeight w:val="342"/>
        </w:trPr>
        <w:tc>
          <w:tcPr>
            <w:tcW w:w="3437" w:type="dxa"/>
            <w:tcBorders>
              <w:top w:val="single" w:sz="4" w:space="0" w:color="auto"/>
              <w:left w:val="nil"/>
              <w:bottom w:val="single" w:sz="4" w:space="0" w:color="auto"/>
              <w:right w:val="nil"/>
            </w:tcBorders>
            <w:noWrap/>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Prihodi od govornih usluga</w:t>
            </w:r>
          </w:p>
        </w:tc>
        <w:tc>
          <w:tcPr>
            <w:tcW w:w="1234" w:type="dxa"/>
            <w:tcBorders>
              <w:top w:val="single" w:sz="4" w:space="0" w:color="auto"/>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1.222</w:t>
            </w:r>
          </w:p>
        </w:tc>
        <w:tc>
          <w:tcPr>
            <w:tcW w:w="1234" w:type="dxa"/>
            <w:tcBorders>
              <w:top w:val="single" w:sz="4" w:space="0" w:color="auto"/>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1.377</w:t>
            </w:r>
          </w:p>
        </w:tc>
        <w:tc>
          <w:tcPr>
            <w:tcW w:w="1455" w:type="dxa"/>
            <w:tcBorders>
              <w:top w:val="single" w:sz="4" w:space="0" w:color="auto"/>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sidRPr="00911A8B">
              <w:rPr>
                <w:rFonts w:ascii="Tele-GroteskEEHal" w:hAnsi="Tele-GroteskEEHal"/>
                <w:i/>
                <w:iCs/>
                <w:kern w:val="0"/>
                <w:sz w:val="22"/>
                <w:szCs w:val="22"/>
                <w:lang w:val="hr-HR" w:eastAsia="hr-HR"/>
              </w:rPr>
              <w:t>-11,3%</w:t>
            </w:r>
          </w:p>
        </w:tc>
      </w:tr>
      <w:tr w:rsidR="003E4626" w:rsidRPr="00911A8B" w:rsidTr="00911A8B">
        <w:trPr>
          <w:trHeight w:val="342"/>
        </w:trPr>
        <w:tc>
          <w:tcPr>
            <w:tcW w:w="3437" w:type="dxa"/>
            <w:tcBorders>
              <w:top w:val="nil"/>
              <w:left w:val="nil"/>
              <w:bottom w:val="single" w:sz="4" w:space="0" w:color="auto"/>
              <w:right w:val="nil"/>
            </w:tcBorders>
            <w:noWrap/>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Prihodi od negovornih usluga</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695</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686</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sidRPr="00911A8B">
              <w:rPr>
                <w:rFonts w:ascii="Tele-GroteskEEHal" w:hAnsi="Tele-GroteskEEHal"/>
                <w:i/>
                <w:iCs/>
                <w:kern w:val="0"/>
                <w:sz w:val="22"/>
                <w:szCs w:val="22"/>
                <w:lang w:val="hr-HR" w:eastAsia="hr-HR"/>
              </w:rPr>
              <w:t>1,3%</w:t>
            </w:r>
          </w:p>
        </w:tc>
      </w:tr>
      <w:tr w:rsidR="003E4626" w:rsidRPr="00911A8B" w:rsidTr="00911A8B">
        <w:trPr>
          <w:trHeight w:val="342"/>
        </w:trPr>
        <w:tc>
          <w:tcPr>
            <w:tcW w:w="3437" w:type="dxa"/>
            <w:tcBorders>
              <w:top w:val="nil"/>
              <w:left w:val="nil"/>
              <w:bottom w:val="single" w:sz="4" w:space="0" w:color="auto"/>
              <w:right w:val="nil"/>
            </w:tcBorders>
            <w:noWrap/>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Ostali prihodi od usluga</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214</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110</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sidRPr="00911A8B">
              <w:rPr>
                <w:rFonts w:ascii="Tele-GroteskEEHal" w:hAnsi="Tele-GroteskEEHal"/>
                <w:i/>
                <w:iCs/>
                <w:kern w:val="0"/>
                <w:sz w:val="22"/>
                <w:szCs w:val="22"/>
                <w:lang w:val="hr-HR" w:eastAsia="hr-HR"/>
              </w:rPr>
              <w:t>94.4%</w:t>
            </w:r>
          </w:p>
        </w:tc>
      </w:tr>
      <w:tr w:rsidR="003E4626" w:rsidRPr="00911A8B" w:rsidTr="00911A8B">
        <w:trPr>
          <w:trHeight w:val="342"/>
        </w:trPr>
        <w:tc>
          <w:tcPr>
            <w:tcW w:w="3437" w:type="dxa"/>
            <w:tcBorders>
              <w:top w:val="nil"/>
              <w:left w:val="nil"/>
              <w:bottom w:val="single" w:sz="4" w:space="0" w:color="auto"/>
              <w:right w:val="nil"/>
            </w:tcBorders>
            <w:noWrap/>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Terminalna oprema</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48</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58</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sidRPr="00911A8B">
              <w:rPr>
                <w:rFonts w:ascii="Tele-GroteskEEHal" w:hAnsi="Tele-GroteskEEHal"/>
                <w:i/>
                <w:iCs/>
                <w:kern w:val="0"/>
                <w:sz w:val="22"/>
                <w:szCs w:val="22"/>
                <w:lang w:val="hr-HR" w:eastAsia="hr-HR"/>
              </w:rPr>
              <w:t>-1</w:t>
            </w:r>
            <w:r>
              <w:rPr>
                <w:rFonts w:ascii="Tele-GroteskEEHal" w:hAnsi="Tele-GroteskEEHal"/>
                <w:i/>
                <w:iCs/>
                <w:kern w:val="0"/>
                <w:sz w:val="22"/>
                <w:szCs w:val="22"/>
                <w:lang w:val="hr-HR" w:eastAsia="hr-HR"/>
              </w:rPr>
              <w:t>6</w:t>
            </w:r>
            <w:r w:rsidRPr="00911A8B">
              <w:rPr>
                <w:rFonts w:ascii="Tele-GroteskEEHal" w:hAnsi="Tele-GroteskEEHal"/>
                <w:i/>
                <w:iCs/>
                <w:kern w:val="0"/>
                <w:sz w:val="22"/>
                <w:szCs w:val="22"/>
                <w:lang w:val="hr-HR" w:eastAsia="hr-HR"/>
              </w:rPr>
              <w:t>,</w:t>
            </w:r>
            <w:r>
              <w:rPr>
                <w:rFonts w:ascii="Tele-GroteskEEHal" w:hAnsi="Tele-GroteskEEHal"/>
                <w:i/>
                <w:iCs/>
                <w:kern w:val="0"/>
                <w:sz w:val="22"/>
                <w:szCs w:val="22"/>
                <w:lang w:val="hr-HR" w:eastAsia="hr-HR"/>
              </w:rPr>
              <w:t>4</w:t>
            </w:r>
            <w:r w:rsidRPr="00911A8B">
              <w:rPr>
                <w:rFonts w:ascii="Tele-GroteskEEHal" w:hAnsi="Tele-GroteskEEHal"/>
                <w:i/>
                <w:iCs/>
                <w:kern w:val="0"/>
                <w:sz w:val="22"/>
                <w:szCs w:val="22"/>
                <w:lang w:val="hr-HR" w:eastAsia="hr-HR"/>
              </w:rPr>
              <w:t>%</w:t>
            </w:r>
          </w:p>
        </w:tc>
      </w:tr>
      <w:tr w:rsidR="003E4626" w:rsidRPr="00911A8B" w:rsidTr="00911A8B">
        <w:trPr>
          <w:trHeight w:val="342"/>
        </w:trPr>
        <w:tc>
          <w:tcPr>
            <w:tcW w:w="3437" w:type="dxa"/>
            <w:tcBorders>
              <w:top w:val="nil"/>
              <w:left w:val="nil"/>
              <w:bottom w:val="single" w:sz="4" w:space="0" w:color="auto"/>
              <w:right w:val="nil"/>
            </w:tcBorders>
            <w:noWrap/>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Razno</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30</w:t>
            </w:r>
          </w:p>
        </w:tc>
        <w:tc>
          <w:tcPr>
            <w:tcW w:w="1234" w:type="dxa"/>
            <w:tcBorders>
              <w:top w:val="nil"/>
              <w:left w:val="nil"/>
              <w:bottom w:val="single" w:sz="4" w:space="0" w:color="auto"/>
              <w:right w:val="nil"/>
            </w:tcBorders>
            <w:noWrap/>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46</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sidRPr="00911A8B">
              <w:rPr>
                <w:rFonts w:ascii="Tele-GroteskEEHal" w:hAnsi="Tele-GroteskEEHal"/>
                <w:i/>
                <w:iCs/>
                <w:kern w:val="0"/>
                <w:sz w:val="22"/>
                <w:szCs w:val="22"/>
                <w:lang w:val="hr-HR" w:eastAsia="hr-HR"/>
              </w:rPr>
              <w:t>-3</w:t>
            </w:r>
            <w:r>
              <w:rPr>
                <w:rFonts w:ascii="Tele-GroteskEEHal" w:hAnsi="Tele-GroteskEEHal"/>
                <w:i/>
                <w:iCs/>
                <w:kern w:val="0"/>
                <w:sz w:val="22"/>
                <w:szCs w:val="22"/>
                <w:lang w:val="hr-HR" w:eastAsia="hr-HR"/>
              </w:rPr>
              <w:t>5</w:t>
            </w:r>
            <w:r w:rsidRPr="00911A8B">
              <w:rPr>
                <w:rFonts w:ascii="Tele-GroteskEEHal" w:hAnsi="Tele-GroteskEEHal"/>
                <w:i/>
                <w:iCs/>
                <w:kern w:val="0"/>
                <w:sz w:val="22"/>
                <w:szCs w:val="22"/>
                <w:lang w:val="hr-HR" w:eastAsia="hr-HR"/>
              </w:rPr>
              <w:t>,</w:t>
            </w:r>
            <w:r>
              <w:rPr>
                <w:rFonts w:ascii="Tele-GroteskEEHal" w:hAnsi="Tele-GroteskEEHal"/>
                <w:i/>
                <w:iCs/>
                <w:kern w:val="0"/>
                <w:sz w:val="22"/>
                <w:szCs w:val="22"/>
                <w:lang w:val="hr-HR" w:eastAsia="hr-HR"/>
              </w:rPr>
              <w:t>6</w:t>
            </w:r>
            <w:r w:rsidRPr="00911A8B">
              <w:rPr>
                <w:rFonts w:ascii="Tele-GroteskEEHal" w:hAnsi="Tele-GroteskEEHal"/>
                <w:i/>
                <w:iCs/>
                <w:kern w:val="0"/>
                <w:sz w:val="22"/>
                <w:szCs w:val="22"/>
                <w:lang w:val="hr-HR" w:eastAsia="hr-HR"/>
              </w:rPr>
              <w:t>%</w:t>
            </w:r>
          </w:p>
        </w:tc>
      </w:tr>
      <w:tr w:rsidR="003E4626" w:rsidRPr="00911A8B" w:rsidTr="00911A8B">
        <w:trPr>
          <w:trHeight w:val="342"/>
        </w:trPr>
        <w:tc>
          <w:tcPr>
            <w:tcW w:w="3437" w:type="dxa"/>
            <w:tcBorders>
              <w:top w:val="nil"/>
              <w:left w:val="nil"/>
              <w:bottom w:val="single" w:sz="4" w:space="0" w:color="auto"/>
              <w:right w:val="nil"/>
            </w:tcBorders>
            <w:vAlign w:val="center"/>
          </w:tcPr>
          <w:p w:rsidR="003E4626" w:rsidRPr="00911A8B" w:rsidRDefault="003E4626" w:rsidP="00911A8B">
            <w:pPr>
              <w:suppressAutoHyphens w:val="0"/>
              <w:rPr>
                <w:rFonts w:ascii="Tele-GroteskEEHal" w:hAnsi="Tele-GroteskEEHal"/>
                <w:b/>
                <w:bCs/>
                <w:kern w:val="0"/>
                <w:lang w:val="hr-HR" w:eastAsia="hr-HR"/>
              </w:rPr>
            </w:pPr>
            <w:r w:rsidRPr="00911A8B">
              <w:rPr>
                <w:rFonts w:ascii="Tele-GroteskEEHal" w:hAnsi="Tele-GroteskEEHal"/>
                <w:b/>
                <w:bCs/>
                <w:kern w:val="0"/>
                <w:sz w:val="22"/>
                <w:szCs w:val="22"/>
                <w:lang w:val="hr-HR" w:eastAsia="hr-HR"/>
              </w:rPr>
              <w:t>Prihod</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b/>
                <w:bCs/>
                <w:kern w:val="0"/>
                <w:lang w:val="hr-HR" w:eastAsia="hr-HR"/>
              </w:rPr>
            </w:pPr>
            <w:r w:rsidRPr="00911A8B">
              <w:rPr>
                <w:rFonts w:ascii="Tele-GroteskEEHal" w:hAnsi="Tele-GroteskEEHal"/>
                <w:b/>
                <w:bCs/>
                <w:kern w:val="0"/>
                <w:sz w:val="22"/>
                <w:szCs w:val="22"/>
                <w:lang w:val="hr-HR" w:eastAsia="hr-HR"/>
              </w:rPr>
              <w:t>2.209</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b/>
                <w:bCs/>
                <w:kern w:val="0"/>
                <w:lang w:val="hr-HR" w:eastAsia="hr-HR"/>
              </w:rPr>
            </w:pPr>
            <w:r w:rsidRPr="00911A8B">
              <w:rPr>
                <w:rFonts w:ascii="Tele-GroteskEEHal" w:hAnsi="Tele-GroteskEEHal"/>
                <w:b/>
                <w:bCs/>
                <w:kern w:val="0"/>
                <w:sz w:val="22"/>
                <w:szCs w:val="22"/>
                <w:lang w:val="hr-HR" w:eastAsia="hr-HR"/>
              </w:rPr>
              <w:t>2.278</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b/>
                <w:bCs/>
                <w:i/>
                <w:iCs/>
                <w:kern w:val="0"/>
                <w:lang w:val="hr-HR" w:eastAsia="hr-HR"/>
              </w:rPr>
            </w:pPr>
            <w:r w:rsidRPr="00911A8B">
              <w:rPr>
                <w:rFonts w:ascii="Tele-GroteskEEHal" w:hAnsi="Tele-GroteskEEHal"/>
                <w:b/>
                <w:bCs/>
                <w:i/>
                <w:iCs/>
                <w:kern w:val="0"/>
                <w:sz w:val="22"/>
                <w:szCs w:val="22"/>
                <w:lang w:val="hr-HR" w:eastAsia="hr-HR"/>
              </w:rPr>
              <w:t>-3,0%</w:t>
            </w:r>
          </w:p>
        </w:tc>
      </w:tr>
      <w:tr w:rsidR="003E4626" w:rsidRPr="00911A8B" w:rsidTr="00911A8B">
        <w:trPr>
          <w:trHeight w:val="342"/>
        </w:trPr>
        <w:tc>
          <w:tcPr>
            <w:tcW w:w="3437" w:type="dxa"/>
            <w:tcBorders>
              <w:top w:val="nil"/>
              <w:left w:val="nil"/>
              <w:bottom w:val="single" w:sz="4" w:space="0" w:color="auto"/>
              <w:right w:val="nil"/>
            </w:tcBorders>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EBITDA prije jednokratnih stavki</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1.132</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1.137</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Pr>
                <w:rFonts w:ascii="Tele-GroteskEEHal" w:hAnsi="Tele-GroteskEEHal"/>
                <w:i/>
                <w:iCs/>
                <w:kern w:val="0"/>
                <w:sz w:val="22"/>
                <w:szCs w:val="22"/>
                <w:lang w:val="hr-HR" w:eastAsia="hr-HR"/>
              </w:rPr>
              <w:t>-0,5</w:t>
            </w:r>
            <w:r w:rsidRPr="00911A8B">
              <w:rPr>
                <w:rFonts w:ascii="Tele-GroteskEEHal" w:hAnsi="Tele-GroteskEEHal"/>
                <w:i/>
                <w:iCs/>
                <w:kern w:val="0"/>
                <w:sz w:val="22"/>
                <w:szCs w:val="22"/>
                <w:lang w:val="hr-HR" w:eastAsia="hr-HR"/>
              </w:rPr>
              <w:t>%</w:t>
            </w:r>
          </w:p>
        </w:tc>
      </w:tr>
      <w:tr w:rsidR="003E4626" w:rsidRPr="00911A8B" w:rsidTr="00911A8B">
        <w:trPr>
          <w:trHeight w:val="342"/>
        </w:trPr>
        <w:tc>
          <w:tcPr>
            <w:tcW w:w="3437" w:type="dxa"/>
            <w:tcBorders>
              <w:top w:val="nil"/>
              <w:left w:val="nil"/>
              <w:bottom w:val="single" w:sz="4" w:space="0" w:color="auto"/>
              <w:right w:val="nil"/>
            </w:tcBorders>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EBITDA nakon jednokratnih stavki</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1.132</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1.137</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Pr>
                <w:rFonts w:ascii="Tele-GroteskEEHal" w:hAnsi="Tele-GroteskEEHal"/>
                <w:i/>
                <w:iCs/>
                <w:kern w:val="0"/>
                <w:sz w:val="22"/>
                <w:szCs w:val="22"/>
                <w:lang w:val="hr-HR" w:eastAsia="hr-HR"/>
              </w:rPr>
              <w:t>-0,5</w:t>
            </w:r>
            <w:r w:rsidRPr="00911A8B">
              <w:rPr>
                <w:rFonts w:ascii="Tele-GroteskEEHal" w:hAnsi="Tele-GroteskEEHal"/>
                <w:i/>
                <w:iCs/>
                <w:kern w:val="0"/>
                <w:sz w:val="22"/>
                <w:szCs w:val="22"/>
                <w:lang w:val="hr-HR" w:eastAsia="hr-HR"/>
              </w:rPr>
              <w:t>%</w:t>
            </w:r>
          </w:p>
        </w:tc>
      </w:tr>
      <w:tr w:rsidR="003E4626" w:rsidRPr="00911A8B" w:rsidTr="00911A8B">
        <w:trPr>
          <w:trHeight w:val="342"/>
        </w:trPr>
        <w:tc>
          <w:tcPr>
            <w:tcW w:w="3437" w:type="dxa"/>
            <w:tcBorders>
              <w:top w:val="nil"/>
              <w:left w:val="nil"/>
              <w:bottom w:val="single" w:sz="4" w:space="0" w:color="auto"/>
              <w:right w:val="nil"/>
            </w:tcBorders>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 xml:space="preserve">EBIT  </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791</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814</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sidRPr="00911A8B">
              <w:rPr>
                <w:rFonts w:ascii="Tele-GroteskEEHal" w:hAnsi="Tele-GroteskEEHal"/>
                <w:i/>
                <w:iCs/>
                <w:kern w:val="0"/>
                <w:sz w:val="22"/>
                <w:szCs w:val="22"/>
                <w:lang w:val="hr-HR" w:eastAsia="hr-HR"/>
              </w:rPr>
              <w:t>-2,</w:t>
            </w:r>
            <w:r>
              <w:rPr>
                <w:rFonts w:ascii="Tele-GroteskEEHal" w:hAnsi="Tele-GroteskEEHal"/>
                <w:i/>
                <w:iCs/>
                <w:kern w:val="0"/>
                <w:sz w:val="22"/>
                <w:szCs w:val="22"/>
                <w:lang w:val="hr-HR" w:eastAsia="hr-HR"/>
              </w:rPr>
              <w:t>9</w:t>
            </w:r>
            <w:r w:rsidRPr="00911A8B">
              <w:rPr>
                <w:rFonts w:ascii="Tele-GroteskEEHal" w:hAnsi="Tele-GroteskEEHal"/>
                <w:i/>
                <w:iCs/>
                <w:kern w:val="0"/>
                <w:sz w:val="22"/>
                <w:szCs w:val="22"/>
                <w:lang w:val="hr-HR" w:eastAsia="hr-HR"/>
              </w:rPr>
              <w:t>%</w:t>
            </w:r>
          </w:p>
        </w:tc>
      </w:tr>
      <w:tr w:rsidR="003E4626" w:rsidRPr="00911A8B" w:rsidTr="00911A8B">
        <w:trPr>
          <w:trHeight w:val="342"/>
        </w:trPr>
        <w:tc>
          <w:tcPr>
            <w:tcW w:w="3437" w:type="dxa"/>
            <w:tcBorders>
              <w:top w:val="nil"/>
              <w:left w:val="nil"/>
              <w:bottom w:val="single" w:sz="4" w:space="0" w:color="auto"/>
              <w:right w:val="nil"/>
            </w:tcBorders>
            <w:vAlign w:val="center"/>
          </w:tcPr>
          <w:p w:rsidR="003E4626" w:rsidRPr="00911A8B" w:rsidRDefault="003E4626" w:rsidP="00911A8B">
            <w:pPr>
              <w:suppressAutoHyphens w:val="0"/>
              <w:rPr>
                <w:rFonts w:ascii="Tele-GroteskEEHal" w:hAnsi="Tele-GroteskEEHal"/>
                <w:kern w:val="0"/>
                <w:lang w:val="hr-HR" w:eastAsia="hr-HR"/>
              </w:rPr>
            </w:pPr>
            <w:r w:rsidRPr="00911A8B">
              <w:rPr>
                <w:rFonts w:ascii="Tele-GroteskEEHal" w:hAnsi="Tele-GroteskEEHal"/>
                <w:kern w:val="0"/>
                <w:sz w:val="22"/>
                <w:szCs w:val="22"/>
                <w:lang w:val="hr-HR" w:eastAsia="hr-HR"/>
              </w:rPr>
              <w:t>Neto dobit</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655</w:t>
            </w:r>
          </w:p>
        </w:tc>
        <w:tc>
          <w:tcPr>
            <w:tcW w:w="1234"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kern w:val="0"/>
                <w:lang w:val="hr-HR" w:eastAsia="hr-HR"/>
              </w:rPr>
            </w:pPr>
            <w:r w:rsidRPr="00911A8B">
              <w:rPr>
                <w:rFonts w:ascii="Tele-GroteskEEHal" w:hAnsi="Tele-GroteskEEHal"/>
                <w:kern w:val="0"/>
                <w:sz w:val="22"/>
                <w:szCs w:val="22"/>
                <w:lang w:val="hr-HR" w:eastAsia="hr-HR"/>
              </w:rPr>
              <w:t>662</w:t>
            </w:r>
          </w:p>
        </w:tc>
        <w:tc>
          <w:tcPr>
            <w:tcW w:w="1455" w:type="dxa"/>
            <w:tcBorders>
              <w:top w:val="nil"/>
              <w:left w:val="nil"/>
              <w:bottom w:val="single" w:sz="4" w:space="0" w:color="auto"/>
              <w:right w:val="nil"/>
            </w:tcBorders>
            <w:vAlign w:val="center"/>
          </w:tcPr>
          <w:p w:rsidR="003E4626" w:rsidRPr="00911A8B" w:rsidRDefault="003E4626" w:rsidP="00911A8B">
            <w:pPr>
              <w:suppressAutoHyphens w:val="0"/>
              <w:jc w:val="right"/>
              <w:rPr>
                <w:rFonts w:ascii="Tele-GroteskEEHal" w:hAnsi="Tele-GroteskEEHal"/>
                <w:i/>
                <w:iCs/>
                <w:kern w:val="0"/>
                <w:lang w:val="hr-HR" w:eastAsia="hr-HR"/>
              </w:rPr>
            </w:pPr>
            <w:r w:rsidRPr="00911A8B">
              <w:rPr>
                <w:rFonts w:ascii="Tele-GroteskEEHal" w:hAnsi="Tele-GroteskEEHal"/>
                <w:i/>
                <w:iCs/>
                <w:kern w:val="0"/>
                <w:sz w:val="22"/>
                <w:szCs w:val="22"/>
                <w:lang w:val="hr-HR" w:eastAsia="hr-HR"/>
              </w:rPr>
              <w:t>-1,</w:t>
            </w:r>
            <w:r>
              <w:rPr>
                <w:rFonts w:ascii="Tele-GroteskEEHal" w:hAnsi="Tele-GroteskEEHal"/>
                <w:i/>
                <w:iCs/>
                <w:kern w:val="0"/>
                <w:sz w:val="22"/>
                <w:szCs w:val="22"/>
                <w:lang w:val="hr-HR" w:eastAsia="hr-HR"/>
              </w:rPr>
              <w:t>2</w:t>
            </w:r>
            <w:r w:rsidRPr="00911A8B">
              <w:rPr>
                <w:rFonts w:ascii="Tele-GroteskEEHal" w:hAnsi="Tele-GroteskEEHal"/>
                <w:i/>
                <w:iCs/>
                <w:kern w:val="0"/>
                <w:sz w:val="22"/>
                <w:szCs w:val="22"/>
                <w:lang w:val="hr-HR" w:eastAsia="hr-HR"/>
              </w:rPr>
              <w:t>%</w:t>
            </w:r>
          </w:p>
        </w:tc>
      </w:tr>
    </w:tbl>
    <w:p w:rsidR="003E4626" w:rsidRDefault="003E4626" w:rsidP="00701657">
      <w:pPr>
        <w:spacing w:after="120"/>
        <w:jc w:val="both"/>
        <w:outlineLvl w:val="0"/>
        <w:rPr>
          <w:rFonts w:ascii="Tele-GroteskEEHal" w:hAnsi="Tele-GroteskEEHal" w:cs="Arial"/>
          <w:b/>
          <w:bCs/>
          <w:sz w:val="22"/>
          <w:szCs w:val="22"/>
          <w:lang w:val="hr-HR"/>
        </w:rPr>
      </w:pPr>
    </w:p>
    <w:p w:rsidR="003E4626" w:rsidRDefault="003E4626" w:rsidP="00220188">
      <w:pPr>
        <w:spacing w:after="120"/>
        <w:jc w:val="both"/>
        <w:outlineLvl w:val="0"/>
        <w:rPr>
          <w:rFonts w:ascii="Tele-GroteskEEHal" w:hAnsi="Tele-GroteskEEHal"/>
          <w:color w:val="000000"/>
          <w:sz w:val="22"/>
          <w:szCs w:val="22"/>
          <w:lang w:val="hr-HR"/>
        </w:rPr>
      </w:pPr>
      <w:r w:rsidRPr="00A951F1">
        <w:rPr>
          <w:rFonts w:ascii="Tele-GroteskEEHal" w:hAnsi="Tele-GroteskEEHal"/>
          <w:color w:val="000000"/>
          <w:sz w:val="22"/>
          <w:szCs w:val="22"/>
          <w:lang w:val="hr-HR"/>
        </w:rPr>
        <w:t>U trećem tromjesečju 2011. prihodi su se smanjili za 3,0%, prvenstveno zbog smanjenja prihoda od govornih usluga od 11,3%, kao rezultat teškoga gospodarskog okruženja, stalnog smanjenja cijena (uključujući cijene međupovezivanja) i snažnih pritisaka konkurencije. Prihodi od negovornih usluga povećali su se za 1,3%, prvenstveno kao rezultat povećanja prihoda od negovornih usluga pruženih privatnim korisnicima u nepokretnoj mreži (vezano uz ADSL i IPTV usluge) i veće uporabe negovornih usluga u pokretnoj mreži. Kako govorne tako i negovorne usluge bile su potpomognute gore navedenom promjenom priznavanja prihoda zbog promjene vijeka trajanja odnosa s korisnicima.</w:t>
      </w:r>
    </w:p>
    <w:p w:rsidR="003E4626" w:rsidRPr="00992713" w:rsidRDefault="003E4626" w:rsidP="00992713">
      <w:pPr>
        <w:rPr>
          <w:rFonts w:ascii="Tele-GroteskEEHal" w:hAnsi="Tele-GroteskEEHal"/>
          <w:sz w:val="22"/>
          <w:szCs w:val="22"/>
          <w:lang w:val="hr-HR"/>
        </w:rPr>
      </w:pPr>
      <w:r w:rsidRPr="00992713">
        <w:rPr>
          <w:rFonts w:ascii="Tele-GroteskEEHal" w:hAnsi="Tele-GroteskEEHal"/>
          <w:sz w:val="22"/>
          <w:szCs w:val="22"/>
          <w:lang w:val="hr-HR"/>
        </w:rPr>
        <w:t>Do snažnog rasta prihoda od ostalih usluga od 94,4% došlo je zahvaljujući većem doprinosu Combisa i uvođenju drugačije strukture tarifa u području pokretnih komunikacija. Nakon smanjenja troškova redovnog poslovanja, EBITDA se smanjila za 0,5%, dok se nakon većih troškova amortizacije EBIT smanjio za 2,9%. Neto se dobit smanjila za 1,2%.</w:t>
      </w:r>
    </w:p>
    <w:p w:rsidR="003E4626" w:rsidRDefault="003E4626" w:rsidP="00992713">
      <w:pPr>
        <w:rPr>
          <w:rFonts w:ascii="Tele-GroteskEEHal" w:hAnsi="Tele-GroteskEEHal"/>
          <w:sz w:val="22"/>
          <w:szCs w:val="22"/>
          <w:lang w:val="hr-HR"/>
        </w:rPr>
      </w:pPr>
    </w:p>
    <w:p w:rsidR="003E4626" w:rsidRDefault="003E4626" w:rsidP="00992713">
      <w:pPr>
        <w:rPr>
          <w:rFonts w:ascii="Tele-GroteskEEHal" w:hAnsi="Tele-GroteskEEHal"/>
          <w:sz w:val="22"/>
          <w:szCs w:val="22"/>
          <w:lang w:val="hr-HR"/>
        </w:rPr>
      </w:pPr>
    </w:p>
    <w:p w:rsidR="003E4626" w:rsidRPr="00992713" w:rsidRDefault="003E4626" w:rsidP="00992713">
      <w:pPr>
        <w:rPr>
          <w:rFonts w:ascii="Tele-GroteskEEHal" w:hAnsi="Tele-GroteskEEHal"/>
          <w:sz w:val="22"/>
          <w:szCs w:val="22"/>
          <w:lang w:val="hr-HR"/>
        </w:rPr>
      </w:pPr>
    </w:p>
    <w:p w:rsidR="003E4626" w:rsidRPr="00992713" w:rsidRDefault="003E4626" w:rsidP="00992713">
      <w:pPr>
        <w:rPr>
          <w:rFonts w:ascii="Tele-GroteskEEHal" w:hAnsi="Tele-GroteskEEHal"/>
          <w:b/>
          <w:sz w:val="22"/>
          <w:szCs w:val="22"/>
          <w:lang w:val="hr-HR"/>
        </w:rPr>
      </w:pPr>
      <w:r w:rsidRPr="00992713">
        <w:rPr>
          <w:rFonts w:ascii="Tele-GroteskEEHal" w:hAnsi="Tele-GroteskEEHal"/>
          <w:b/>
          <w:sz w:val="22"/>
          <w:szCs w:val="22"/>
          <w:lang w:val="hr-HR"/>
        </w:rPr>
        <w:t>Upravljanje rizicima</w:t>
      </w:r>
    </w:p>
    <w:p w:rsidR="003E4626" w:rsidRPr="00992713" w:rsidRDefault="003E4626" w:rsidP="00992713">
      <w:pPr>
        <w:rPr>
          <w:rFonts w:ascii="Tele-GroteskEEHal" w:hAnsi="Tele-GroteskEEHal"/>
          <w:sz w:val="22"/>
          <w:szCs w:val="22"/>
          <w:lang w:val="hr-HR"/>
        </w:rPr>
      </w:pPr>
    </w:p>
    <w:p w:rsidR="003E4626" w:rsidRPr="00992713" w:rsidRDefault="003E4626" w:rsidP="00960D6B">
      <w:pPr>
        <w:suppressAutoHyphens w:val="0"/>
        <w:jc w:val="both"/>
        <w:rPr>
          <w:rFonts w:ascii="Tele-GroteskEEHal" w:hAnsi="Tele-GroteskEEHal" w:cs="Arial"/>
          <w:kern w:val="0"/>
          <w:sz w:val="22"/>
          <w:szCs w:val="22"/>
          <w:lang w:val="hr-HR" w:eastAsia="hr-HR"/>
        </w:rPr>
      </w:pPr>
      <w:r w:rsidRPr="00992713">
        <w:rPr>
          <w:rFonts w:ascii="Tele-GroteskEEHal" w:hAnsi="Tele-GroteskEEHal" w:cs="Arial"/>
          <w:kern w:val="0"/>
          <w:sz w:val="22"/>
          <w:szCs w:val="22"/>
          <w:lang w:val="hr-HR" w:eastAsia="hr-HR"/>
        </w:rPr>
        <w:t>Uz poslovna i regulatorna kretanja navedena u ovom izvješću, Grupa također izvješćuje o sljedećim promjenama u profilu rizika u izvještajnom razdoblju.</w:t>
      </w:r>
    </w:p>
    <w:p w:rsidR="003E4626" w:rsidRPr="00992713" w:rsidRDefault="003E4626" w:rsidP="00E417A0">
      <w:pPr>
        <w:jc w:val="both"/>
        <w:rPr>
          <w:rFonts w:ascii="Tele-GroteskEEHal" w:hAnsi="Tele-GroteskEEHal"/>
          <w:sz w:val="22"/>
          <w:szCs w:val="22"/>
          <w:lang w:val="hr-HR"/>
        </w:rPr>
      </w:pPr>
    </w:p>
    <w:p w:rsidR="003E4626" w:rsidRPr="002C4B63" w:rsidRDefault="003E4626" w:rsidP="00E417A0">
      <w:pPr>
        <w:jc w:val="both"/>
        <w:rPr>
          <w:rFonts w:ascii="Tele-GroteskEEHal" w:hAnsi="Tele-GroteskEEHal"/>
          <w:sz w:val="22"/>
          <w:szCs w:val="22"/>
          <w:lang w:val="hr-HR"/>
        </w:rPr>
      </w:pPr>
      <w:r w:rsidRPr="002C4B63">
        <w:rPr>
          <w:rFonts w:ascii="Tele-GroteskEEHal" w:hAnsi="Tele-GroteskEEHal"/>
          <w:sz w:val="22"/>
          <w:szCs w:val="22"/>
          <w:lang w:val="hr-HR"/>
        </w:rPr>
        <w:t xml:space="preserve">Grupa je primila na znanje da je Agencija podnijela dva optužna prijedloga Prekršajnom sudu protiv Društva zbog povreda Zakona o elektroničkim komunikacijama i predložila da se Društvu odredi kazna od 3% godišnjeg bruto prihoda u svakom od ova dva postupka jer je Društvo navodno prekršilo regulatorne obveze propisane odlukom Vijeća Agencije od 6. travnja 2011. temeljem koje je Društvo dužno alternativnim operatorima ponuditi uslugu najma korisničke linije od 1. srpnja 2011. Predmetni optužni prijedlozi još nisu službeno dostavljeni Društvu. Kada i ako Društvo primi prekršajne naloge, ono će iznijeti svoju obranu pred Prekršajnim sudom. </w:t>
      </w:r>
    </w:p>
    <w:p w:rsidR="003E4626" w:rsidRPr="002C4B63" w:rsidRDefault="003E4626" w:rsidP="002F5200">
      <w:pPr>
        <w:suppressAutoHyphens w:val="0"/>
        <w:jc w:val="both"/>
        <w:rPr>
          <w:rFonts w:ascii="Tele-GroteskEEHal" w:hAnsi="Tele-GroteskEEHal" w:cs="Arial"/>
          <w:kern w:val="0"/>
          <w:sz w:val="22"/>
          <w:szCs w:val="22"/>
          <w:lang w:val="hr-HR" w:eastAsia="hr-HR"/>
        </w:rPr>
      </w:pPr>
    </w:p>
    <w:p w:rsidR="003E4626" w:rsidRPr="002C4B63" w:rsidRDefault="003E4626" w:rsidP="001D4234">
      <w:pPr>
        <w:suppressAutoHyphens w:val="0"/>
        <w:jc w:val="both"/>
        <w:rPr>
          <w:rFonts w:ascii="Tele-GroteskEEHal" w:hAnsi="Tele-GroteskEEHal" w:cs="Arial"/>
          <w:kern w:val="0"/>
          <w:sz w:val="22"/>
          <w:szCs w:val="22"/>
          <w:lang w:val="hr-HR" w:eastAsia="hr-HR"/>
        </w:rPr>
      </w:pPr>
      <w:r w:rsidRPr="002C4B63">
        <w:rPr>
          <w:rFonts w:ascii="Tele-GroteskEEHal" w:hAnsi="Tele-GroteskEEHal" w:cs="Arial"/>
          <w:kern w:val="0"/>
          <w:sz w:val="22"/>
          <w:szCs w:val="22"/>
          <w:lang w:val="hr-HR" w:eastAsia="hr-HR"/>
        </w:rPr>
        <w:t xml:space="preserve">Agencija za zaštitu tržišnog natjecanja (AZTN) pokrenula je postupak protiv tri operatora pokretne mreže (uključujući Društvo) zbog navodnog dogovora o usklađenom djelovanju koje je zabranjeno temeljem Zakona o zaštiti tržišnog natjecanja jer su sva tri operatora pokretne mreže od 1. listopada 2009. promijenila obračunske jedinice u svojim tarifnim planovima iz 15 sekundi u 60 sekundi. AZTN smatra da promjena obračunskih jedinica predstavlja dogovor o povećanju cijene. Društvo je primilo odluku AZTN-a o službenom pokretanju postupka 21. rujna 2011. Tijekom postupka AZTN će ispitati postoji li dogovor između gore navedenih operatora i predstavlja li on kao takav </w:t>
      </w:r>
      <w:r>
        <w:rPr>
          <w:rFonts w:ascii="Tele-GroteskEEHal" w:hAnsi="Tele-GroteskEEHal" w:cs="Arial"/>
          <w:kern w:val="0"/>
          <w:sz w:val="22"/>
          <w:szCs w:val="22"/>
          <w:lang w:val="hr-HR" w:eastAsia="hr-HR"/>
        </w:rPr>
        <w:t xml:space="preserve">zajedničko </w:t>
      </w:r>
      <w:r w:rsidRPr="002C4B63">
        <w:rPr>
          <w:rFonts w:ascii="Tele-GroteskEEHal" w:hAnsi="Tele-GroteskEEHal" w:cs="Arial"/>
          <w:kern w:val="0"/>
          <w:sz w:val="22"/>
          <w:szCs w:val="22"/>
          <w:lang w:val="hr-HR" w:eastAsia="hr-HR"/>
        </w:rPr>
        <w:t>djelovanje koje je zabranjeno člankom 8. Zakona o zaštiti tržišnog natjecanja (NN 79/09).</w:t>
      </w:r>
    </w:p>
    <w:p w:rsidR="003E4626" w:rsidRPr="00960D6B" w:rsidRDefault="003E4626" w:rsidP="00701657">
      <w:pPr>
        <w:spacing w:after="120"/>
        <w:jc w:val="both"/>
        <w:outlineLvl w:val="0"/>
        <w:rPr>
          <w:rFonts w:ascii="Tele-GroteskEEHal" w:hAnsi="Tele-GroteskEEHal"/>
          <w:color w:val="000000"/>
          <w:sz w:val="22"/>
          <w:szCs w:val="22"/>
          <w:lang w:val="hr-HR"/>
        </w:rPr>
      </w:pPr>
    </w:p>
    <w:p w:rsidR="003E4626" w:rsidRPr="004B2998" w:rsidRDefault="003E4626" w:rsidP="004B2998">
      <w:pPr>
        <w:spacing w:after="120"/>
        <w:jc w:val="both"/>
        <w:outlineLvl w:val="0"/>
        <w:rPr>
          <w:rFonts w:ascii="Tele-GroteskEEHal" w:hAnsi="Tele-GroteskEEHal"/>
          <w:color w:val="000000"/>
          <w:sz w:val="22"/>
          <w:szCs w:val="22"/>
          <w:lang w:val="hr-HR"/>
        </w:rPr>
      </w:pPr>
    </w:p>
    <w:p w:rsidR="003E4626" w:rsidRPr="004B2998" w:rsidRDefault="003E4626" w:rsidP="004B2998">
      <w:pPr>
        <w:jc w:val="both"/>
        <w:rPr>
          <w:rFonts w:ascii="Tele-GroteskEEHal" w:hAnsi="Tele-GroteskEEHal" w:cs="Tahoma"/>
          <w:b/>
          <w:bCs/>
          <w:sz w:val="28"/>
          <w:szCs w:val="28"/>
          <w:lang w:val="hr-HR"/>
        </w:rPr>
      </w:pPr>
      <w:r w:rsidRPr="004B2998">
        <w:rPr>
          <w:rFonts w:ascii="Tele-GroteskEEHal" w:hAnsi="Tele-GroteskEEHal" w:cs="Tahoma"/>
          <w:b/>
          <w:bCs/>
          <w:sz w:val="28"/>
          <w:szCs w:val="28"/>
          <w:lang w:val="hr-HR"/>
        </w:rPr>
        <w:t>Izgledi Grupe za 2011. godinu</w:t>
      </w:r>
    </w:p>
    <w:p w:rsidR="003E4626" w:rsidRPr="004B2998" w:rsidRDefault="003E4626" w:rsidP="004B2998">
      <w:pPr>
        <w:jc w:val="both"/>
        <w:rPr>
          <w:rFonts w:ascii="Tele-GroteskEEHal" w:hAnsi="Tele-GroteskEEHal" w:cs="Tahoma"/>
          <w:b/>
          <w:bCs/>
          <w:sz w:val="22"/>
          <w:szCs w:val="22"/>
          <w:lang w:val="hr-HR"/>
        </w:rPr>
      </w:pPr>
    </w:p>
    <w:p w:rsidR="003E4626" w:rsidRPr="004B2998" w:rsidRDefault="003E4626" w:rsidP="004B2998">
      <w:pPr>
        <w:jc w:val="both"/>
        <w:rPr>
          <w:rFonts w:ascii="Tele-GroteskEEHal" w:hAnsi="Tele-GroteskEEHal" w:cs="Arial"/>
          <w:b/>
          <w:color w:val="000000"/>
          <w:sz w:val="22"/>
          <w:szCs w:val="22"/>
          <w:lang w:val="hr-HR"/>
        </w:rPr>
      </w:pPr>
      <w:r w:rsidRPr="004B2998">
        <w:rPr>
          <w:rFonts w:ascii="Tele-GroteskEEHal" w:hAnsi="Tele-GroteskEEHal" w:cs="Arial"/>
          <w:b/>
          <w:color w:val="000000"/>
          <w:sz w:val="22"/>
          <w:szCs w:val="22"/>
          <w:lang w:val="hr-HR"/>
        </w:rPr>
        <w:t>Prihodi</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color w:val="000000"/>
          <w:sz w:val="22"/>
          <w:szCs w:val="22"/>
          <w:lang w:val="hr-HR"/>
        </w:rPr>
      </w:pPr>
      <w:r w:rsidRPr="004B2998">
        <w:rPr>
          <w:rFonts w:ascii="Tele-GroteskEEHal" w:hAnsi="Tele-GroteskEEHal" w:cs="Arial"/>
          <w:sz w:val="22"/>
          <w:szCs w:val="22"/>
          <w:lang w:val="hr-HR"/>
        </w:rPr>
        <w:t>Kao što je navedeno u rezultatima za prvo tromjesečje od 28. travnja 2011., rezultati Grupe za tekuću</w:t>
      </w:r>
      <w:r w:rsidRPr="004B2998">
        <w:rPr>
          <w:rFonts w:ascii="Tele-GroteskEEHal" w:hAnsi="Tele-GroteskEEHal" w:cs="Arial"/>
          <w:color w:val="000000"/>
          <w:sz w:val="22"/>
          <w:szCs w:val="22"/>
          <w:lang w:val="hr-HR"/>
        </w:rPr>
        <w:t xml:space="preserve"> financijsku godinu ovise o snazi turističke sezone u Hrvatskoj i oporavku nacionalnoga gospodarstva. Do gospodarskog zaokreta predviđenog početkom godine nije došlo, stopa nezaposlenosti ostala je visoka, a iznos nepodmirenih dugovanja dosegnuo je rekordnu razinu. Istovremeno, naknada od 6% na usluge u pokretnoj mreži, koju je Vlada uvela 2009. godine, nije ukinuta, dok će nedavno promijenjena regulativa kojom se uređuje najam korisničke linije i samostalni DSL dodatno utjecati na poslovanje Grupe.</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color w:val="000000"/>
          <w:sz w:val="22"/>
          <w:szCs w:val="22"/>
          <w:lang w:val="hr-HR"/>
        </w:rPr>
      </w:pPr>
      <w:r w:rsidRPr="004B2998">
        <w:rPr>
          <w:rFonts w:ascii="Tele-GroteskEEHal" w:hAnsi="Tele-GroteskEEHal" w:cs="Arial"/>
          <w:color w:val="000000"/>
          <w:sz w:val="22"/>
          <w:szCs w:val="22"/>
          <w:lang w:val="hr-HR"/>
        </w:rPr>
        <w:t>Grupa je i dalje usmjerena na korištenje novih i postojećih prilika za rast. Međutim, s obzirom na teške gospodarske uvjete i pojačane regulatorne pritiske, Grupa očekuje da će prihodi za 2011. biti umjereno manji u odnosu na razinu iz 2010.</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b/>
          <w:color w:val="000000"/>
          <w:sz w:val="22"/>
          <w:szCs w:val="22"/>
          <w:lang w:val="hr-HR"/>
        </w:rPr>
      </w:pPr>
      <w:r w:rsidRPr="004B2998">
        <w:rPr>
          <w:rFonts w:ascii="Tele-GroteskEEHal" w:hAnsi="Tele-GroteskEEHal" w:cs="Arial"/>
          <w:b/>
          <w:color w:val="000000"/>
          <w:sz w:val="22"/>
          <w:szCs w:val="22"/>
          <w:lang w:val="hr-HR"/>
        </w:rPr>
        <w:t>EBITDA prije jednokratnih stavki</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color w:val="000000"/>
          <w:sz w:val="22"/>
          <w:szCs w:val="22"/>
          <w:lang w:val="hr-HR"/>
        </w:rPr>
      </w:pPr>
      <w:r w:rsidRPr="004B2998">
        <w:rPr>
          <w:rFonts w:ascii="Tele-GroteskEEHal" w:hAnsi="Tele-GroteskEEHal" w:cs="Arial"/>
          <w:color w:val="000000"/>
          <w:sz w:val="22"/>
          <w:szCs w:val="22"/>
          <w:lang w:val="hr-HR"/>
        </w:rPr>
        <w:t xml:space="preserve">U svjetlu izazovnih gospodarskih okolnosti u Hrvatskoj, učinka regulatornih mjera i posljedično nižih očekivanja u pogledu prihoda, Grupa očekuje da će EBITDA za 2011. biti približno kao EBITDA u 2010. Međutim, Grupa je odlučna u nastojanju da kroz već postignutu učinkovitost i nastavak stalne kontrole troškova održi maržu EBITDA-e na razini prethodne godine. </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b/>
          <w:color w:val="000000"/>
          <w:sz w:val="22"/>
          <w:szCs w:val="22"/>
          <w:lang w:val="hr-HR"/>
        </w:rPr>
      </w:pPr>
      <w:r w:rsidRPr="004B2998">
        <w:rPr>
          <w:rFonts w:ascii="Tele-GroteskEEHal" w:hAnsi="Tele-GroteskEEHal" w:cs="Arial"/>
          <w:b/>
          <w:color w:val="000000"/>
          <w:sz w:val="22"/>
          <w:szCs w:val="22"/>
          <w:lang w:val="hr-HR"/>
        </w:rPr>
        <w:t>CAPEX</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color w:val="000000"/>
          <w:sz w:val="22"/>
          <w:szCs w:val="22"/>
          <w:lang w:val="hr-HR"/>
        </w:rPr>
      </w:pPr>
      <w:r w:rsidRPr="004B2998">
        <w:rPr>
          <w:rFonts w:ascii="Tele-GroteskEEHal" w:hAnsi="Tele-GroteskEEHal" w:cs="Arial"/>
          <w:color w:val="000000"/>
          <w:sz w:val="22"/>
          <w:szCs w:val="22"/>
          <w:lang w:val="hr-HR"/>
        </w:rPr>
        <w:t xml:space="preserve">Budući da je postojeći regulatorni okvir i dalje nepoticajan za moguća ulaganja T-HT-a u optičku infrastrukturu, Grupa očekuje da će u 2011. kapitalna ulaganja biti manja nego u 2010. Međutim, T-HT će nastaviti s ulaganjima u modernizaciju mreže i IT sustava, kao i u kapacitet pokretne mreže. </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b/>
          <w:color w:val="000000"/>
          <w:sz w:val="22"/>
          <w:szCs w:val="22"/>
          <w:lang w:val="hr-HR"/>
        </w:rPr>
      </w:pPr>
      <w:r w:rsidRPr="004B2998">
        <w:rPr>
          <w:rFonts w:ascii="Tele-GroteskEEHal" w:hAnsi="Tele-GroteskEEHal" w:cs="Arial"/>
          <w:b/>
          <w:color w:val="000000"/>
          <w:sz w:val="22"/>
          <w:szCs w:val="22"/>
          <w:lang w:val="hr-HR"/>
        </w:rPr>
        <w:t>Regionalno širenje</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jc w:val="both"/>
        <w:rPr>
          <w:rFonts w:ascii="Tele-GroteskEEHal" w:hAnsi="Tele-GroteskEEHal" w:cs="Arial"/>
          <w:color w:val="000000"/>
          <w:sz w:val="22"/>
          <w:szCs w:val="22"/>
          <w:lang w:val="hr-HR"/>
        </w:rPr>
      </w:pPr>
      <w:r w:rsidRPr="004B2998">
        <w:rPr>
          <w:rFonts w:ascii="Tele-GroteskEEHal" w:hAnsi="Tele-GroteskEEHal" w:cs="Arial"/>
          <w:color w:val="000000"/>
          <w:sz w:val="22"/>
          <w:szCs w:val="22"/>
          <w:lang w:val="hr-HR"/>
        </w:rPr>
        <w:t>Grupa nastavlja pratiti i procjenjivati prilike za širenje u cilju povećanja vrijednosti za dioničare.</w:t>
      </w:r>
    </w:p>
    <w:p w:rsidR="003E4626" w:rsidRPr="004B2998" w:rsidRDefault="003E4626" w:rsidP="004B2998">
      <w:pPr>
        <w:jc w:val="both"/>
        <w:rPr>
          <w:rFonts w:ascii="Tele-GroteskEEHal" w:hAnsi="Tele-GroteskEEHal" w:cs="Arial"/>
          <w:color w:val="000000"/>
          <w:sz w:val="22"/>
          <w:szCs w:val="22"/>
          <w:lang w:val="hr-HR"/>
        </w:rPr>
      </w:pPr>
    </w:p>
    <w:p w:rsidR="003E4626" w:rsidRPr="004B2998" w:rsidRDefault="003E4626" w:rsidP="004B2998">
      <w:pPr>
        <w:suppressAutoHyphens w:val="0"/>
        <w:jc w:val="both"/>
        <w:rPr>
          <w:rFonts w:ascii="Tele-GroteskEEHal" w:hAnsi="Tele-GroteskEEHal" w:cs="Arial"/>
          <w:kern w:val="0"/>
          <w:sz w:val="22"/>
          <w:szCs w:val="22"/>
          <w:lang w:val="hr-HR" w:eastAsia="hr-HR"/>
        </w:rPr>
      </w:pPr>
    </w:p>
    <w:p w:rsidR="003E4626" w:rsidRDefault="003E4626" w:rsidP="004A4AE4">
      <w:pPr>
        <w:suppressAutoHyphens w:val="0"/>
        <w:rPr>
          <w:rFonts w:ascii="Tele-GroteskEEHal" w:hAnsi="Tele-GroteskEEHal" w:cs="Arial"/>
          <w:kern w:val="0"/>
          <w:sz w:val="22"/>
          <w:szCs w:val="22"/>
          <w:lang w:val="hr-HR" w:eastAsia="hr-HR"/>
        </w:rPr>
      </w:pPr>
    </w:p>
    <w:p w:rsidR="003E4626" w:rsidRDefault="003E4626" w:rsidP="004A4AE4">
      <w:pPr>
        <w:suppressAutoHyphens w:val="0"/>
        <w:rPr>
          <w:rFonts w:ascii="Tele-GroteskEEHal" w:hAnsi="Tele-GroteskEEHal" w:cs="Arial"/>
          <w:kern w:val="0"/>
          <w:sz w:val="22"/>
          <w:szCs w:val="22"/>
          <w:lang w:val="hr-HR" w:eastAsia="hr-HR"/>
        </w:rPr>
      </w:pPr>
    </w:p>
    <w:p w:rsidR="003E4626" w:rsidRDefault="003E4626" w:rsidP="004A4AE4">
      <w:pPr>
        <w:suppressAutoHyphens w:val="0"/>
        <w:rPr>
          <w:rFonts w:ascii="Tele-GroteskEEHal" w:hAnsi="Tele-GroteskEEHal" w:cs="Arial"/>
          <w:kern w:val="0"/>
          <w:sz w:val="22"/>
          <w:szCs w:val="22"/>
          <w:lang w:val="hr-HR" w:eastAsia="hr-HR"/>
        </w:rPr>
      </w:pPr>
    </w:p>
    <w:p w:rsidR="003E4626" w:rsidRPr="004B2998" w:rsidRDefault="003E4626" w:rsidP="004A4AE4">
      <w:pPr>
        <w:suppressAutoHyphens w:val="0"/>
        <w:rPr>
          <w:rFonts w:ascii="Tele-GroteskEEHal" w:hAnsi="Tele-GroteskEEHal" w:cs="Arial"/>
          <w:kern w:val="0"/>
          <w:sz w:val="22"/>
          <w:szCs w:val="22"/>
          <w:lang w:val="hr-HR" w:eastAsia="hr-HR"/>
        </w:rPr>
      </w:pPr>
    </w:p>
    <w:p w:rsidR="003E4626" w:rsidRPr="00EA6677" w:rsidRDefault="003E4626" w:rsidP="004A4AE4">
      <w:pPr>
        <w:suppressAutoHyphens w:val="0"/>
        <w:rPr>
          <w:rFonts w:ascii="Tele-GroteskEEHal" w:hAnsi="Tele-GroteskEEHal" w:cs="Arial"/>
          <w:kern w:val="0"/>
          <w:sz w:val="22"/>
          <w:szCs w:val="22"/>
          <w:lang w:val="hr-HR" w:eastAsia="hr-HR"/>
        </w:rPr>
      </w:pPr>
    </w:p>
    <w:p w:rsidR="003E4626" w:rsidRPr="00960D6B" w:rsidRDefault="003E4626" w:rsidP="00F15CC7">
      <w:pPr>
        <w:suppressAutoHyphens w:val="0"/>
        <w:rPr>
          <w:rFonts w:ascii="Tele-GroteskEEHal" w:hAnsi="Tele-GroteskEEHal"/>
          <w:b/>
          <w:bCs/>
          <w:sz w:val="28"/>
          <w:szCs w:val="28"/>
          <w:lang w:val="hr-HR"/>
        </w:rPr>
      </w:pPr>
      <w:r w:rsidRPr="00960D6B">
        <w:rPr>
          <w:rFonts w:ascii="Tele-GroteskEEHal" w:hAnsi="Tele-GroteskEEHal"/>
          <w:b/>
          <w:bCs/>
          <w:sz w:val="28"/>
          <w:szCs w:val="28"/>
          <w:lang w:val="hr-HR"/>
        </w:rPr>
        <w:t>Financijska izvješća Grupe T-HT</w:t>
      </w:r>
    </w:p>
    <w:p w:rsidR="003E4626" w:rsidRDefault="003E4626" w:rsidP="00F15CC7">
      <w:pPr>
        <w:spacing w:before="240" w:after="240"/>
        <w:jc w:val="both"/>
        <w:outlineLvl w:val="0"/>
        <w:rPr>
          <w:rFonts w:ascii="Tele-GroteskEEHal" w:hAnsi="Tele-GroteskEEHal"/>
          <w:b/>
          <w:bCs/>
          <w:sz w:val="22"/>
          <w:szCs w:val="22"/>
          <w:lang w:val="hr-HR"/>
        </w:rPr>
      </w:pPr>
      <w:r w:rsidRPr="00960D6B">
        <w:rPr>
          <w:rFonts w:ascii="Tele-GroteskEEHal" w:hAnsi="Tele-GroteskEEHal"/>
          <w:b/>
          <w:bCs/>
          <w:sz w:val="22"/>
          <w:szCs w:val="22"/>
          <w:lang w:val="hr-HR"/>
        </w:rPr>
        <w:t>Konsolidirani račun dobiti i gubitka</w:t>
      </w:r>
    </w:p>
    <w:tbl>
      <w:tblPr>
        <w:tblW w:w="9306" w:type="dxa"/>
        <w:tblInd w:w="108" w:type="dxa"/>
        <w:tblLook w:val="0000"/>
      </w:tblPr>
      <w:tblGrid>
        <w:gridCol w:w="3939"/>
        <w:gridCol w:w="835"/>
        <w:gridCol w:w="836"/>
        <w:gridCol w:w="1012"/>
        <w:gridCol w:w="836"/>
        <w:gridCol w:w="836"/>
        <w:gridCol w:w="1012"/>
      </w:tblGrid>
      <w:tr w:rsidR="003E4626" w:rsidRPr="002803EB" w:rsidTr="004B2998">
        <w:trPr>
          <w:trHeight w:val="420"/>
        </w:trPr>
        <w:tc>
          <w:tcPr>
            <w:tcW w:w="3939" w:type="dxa"/>
            <w:vMerge w:val="restart"/>
            <w:tcBorders>
              <w:top w:val="nil"/>
              <w:left w:val="nil"/>
              <w:bottom w:val="nil"/>
              <w:right w:val="nil"/>
            </w:tcBorders>
            <w:shd w:val="clear" w:color="auto" w:fill="E20074"/>
            <w:noWrap/>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u milijunima kuna (MSFI)</w:t>
            </w:r>
          </w:p>
        </w:tc>
        <w:tc>
          <w:tcPr>
            <w:tcW w:w="835" w:type="dxa"/>
            <w:vMerge w:val="restart"/>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 xml:space="preserve">Sij.-Ruj. </w:t>
            </w:r>
            <w:r w:rsidRPr="002803EB">
              <w:rPr>
                <w:rFonts w:ascii="Tele-GroteskEEHal" w:hAnsi="Tele-GroteskEEHal"/>
                <w:b/>
                <w:bCs/>
                <w:color w:val="FFFFFF"/>
                <w:kern w:val="0"/>
                <w:sz w:val="22"/>
                <w:szCs w:val="22"/>
                <w:lang w:val="hr-HR" w:eastAsia="hr-HR"/>
              </w:rPr>
              <w:br/>
              <w:t>2011.</w:t>
            </w:r>
          </w:p>
        </w:tc>
        <w:tc>
          <w:tcPr>
            <w:tcW w:w="836" w:type="dxa"/>
            <w:vMerge w:val="restart"/>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 xml:space="preserve">Sij.-Ruj. </w:t>
            </w:r>
            <w:r w:rsidRPr="002803EB">
              <w:rPr>
                <w:rFonts w:ascii="Tele-GroteskEEHal" w:hAnsi="Tele-GroteskEEHal"/>
                <w:b/>
                <w:bCs/>
                <w:color w:val="FFFFFF"/>
                <w:kern w:val="0"/>
                <w:sz w:val="22"/>
                <w:szCs w:val="22"/>
                <w:lang w:val="hr-HR" w:eastAsia="hr-HR"/>
              </w:rPr>
              <w:br/>
              <w:t>2010.</w:t>
            </w:r>
          </w:p>
        </w:tc>
        <w:tc>
          <w:tcPr>
            <w:tcW w:w="1012" w:type="dxa"/>
            <w:vMerge w:val="restart"/>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 xml:space="preserve">% promjene </w:t>
            </w:r>
            <w:r w:rsidRPr="002803EB">
              <w:rPr>
                <w:rFonts w:ascii="Tele-GroteskEEHal" w:hAnsi="Tele-GroteskEEHal"/>
                <w:b/>
                <w:bCs/>
                <w:i/>
                <w:iCs/>
                <w:color w:val="FFFFFF"/>
                <w:kern w:val="0"/>
                <w:sz w:val="22"/>
                <w:szCs w:val="22"/>
                <w:lang w:val="hr-HR" w:eastAsia="hr-HR"/>
              </w:rPr>
              <w:br/>
              <w:t>11/10</w:t>
            </w:r>
          </w:p>
        </w:tc>
        <w:tc>
          <w:tcPr>
            <w:tcW w:w="836" w:type="dxa"/>
            <w:vMerge w:val="restart"/>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Srp.-Ruj. 2011</w:t>
            </w:r>
          </w:p>
        </w:tc>
        <w:tc>
          <w:tcPr>
            <w:tcW w:w="836" w:type="dxa"/>
            <w:vMerge w:val="restart"/>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Srp.-Ruj. 2010</w:t>
            </w:r>
          </w:p>
        </w:tc>
        <w:tc>
          <w:tcPr>
            <w:tcW w:w="1012" w:type="dxa"/>
            <w:vMerge w:val="restart"/>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 xml:space="preserve">% promjene </w:t>
            </w:r>
            <w:r w:rsidRPr="002803EB">
              <w:rPr>
                <w:rFonts w:ascii="Tele-GroteskEEHal" w:hAnsi="Tele-GroteskEEHal"/>
                <w:b/>
                <w:bCs/>
                <w:i/>
                <w:iCs/>
                <w:color w:val="FFFFFF"/>
                <w:kern w:val="0"/>
                <w:sz w:val="22"/>
                <w:szCs w:val="22"/>
                <w:lang w:val="hr-HR" w:eastAsia="hr-HR"/>
              </w:rPr>
              <w:br/>
              <w:t>11/10</w:t>
            </w:r>
          </w:p>
        </w:tc>
      </w:tr>
      <w:tr w:rsidR="003E4626" w:rsidRPr="002803EB" w:rsidTr="004B2998">
        <w:trPr>
          <w:trHeight w:val="499"/>
        </w:trPr>
        <w:tc>
          <w:tcPr>
            <w:tcW w:w="3939" w:type="dxa"/>
            <w:vMerge/>
            <w:tcBorders>
              <w:top w:val="nil"/>
              <w:left w:val="nil"/>
              <w:bottom w:val="nil"/>
              <w:right w:val="nil"/>
            </w:tcBorders>
            <w:vAlign w:val="center"/>
          </w:tcPr>
          <w:p w:rsidR="003E4626" w:rsidRPr="002803EB" w:rsidRDefault="003E4626" w:rsidP="002803EB">
            <w:pPr>
              <w:suppressAutoHyphens w:val="0"/>
              <w:rPr>
                <w:rFonts w:ascii="Tele-GroteskEEHal" w:hAnsi="Tele-GroteskEEHal"/>
                <w:b/>
                <w:bCs/>
                <w:color w:val="FFFFFF"/>
                <w:kern w:val="0"/>
                <w:lang w:val="hr-HR" w:eastAsia="hr-HR"/>
              </w:rPr>
            </w:pPr>
          </w:p>
        </w:tc>
        <w:tc>
          <w:tcPr>
            <w:tcW w:w="835" w:type="dxa"/>
            <w:vMerge/>
            <w:tcBorders>
              <w:top w:val="nil"/>
              <w:left w:val="nil"/>
              <w:bottom w:val="nil"/>
              <w:right w:val="nil"/>
            </w:tcBorders>
            <w:vAlign w:val="center"/>
          </w:tcPr>
          <w:p w:rsidR="003E4626" w:rsidRPr="002803EB" w:rsidRDefault="003E4626" w:rsidP="002803EB">
            <w:pPr>
              <w:suppressAutoHyphens w:val="0"/>
              <w:rPr>
                <w:rFonts w:ascii="Tele-GroteskEEHal" w:hAnsi="Tele-GroteskEEHal"/>
                <w:b/>
                <w:bCs/>
                <w:color w:val="FFFFFF"/>
                <w:kern w:val="0"/>
                <w:lang w:val="hr-HR" w:eastAsia="hr-HR"/>
              </w:rPr>
            </w:pPr>
          </w:p>
        </w:tc>
        <w:tc>
          <w:tcPr>
            <w:tcW w:w="836" w:type="dxa"/>
            <w:vMerge/>
            <w:tcBorders>
              <w:top w:val="nil"/>
              <w:left w:val="nil"/>
              <w:bottom w:val="nil"/>
              <w:right w:val="nil"/>
            </w:tcBorders>
            <w:vAlign w:val="center"/>
          </w:tcPr>
          <w:p w:rsidR="003E4626" w:rsidRPr="002803EB" w:rsidRDefault="003E4626" w:rsidP="002803EB">
            <w:pPr>
              <w:suppressAutoHyphens w:val="0"/>
              <w:rPr>
                <w:rFonts w:ascii="Tele-GroteskEEHal" w:hAnsi="Tele-GroteskEEHal"/>
                <w:b/>
                <w:bCs/>
                <w:color w:val="FFFFFF"/>
                <w:kern w:val="0"/>
                <w:lang w:val="hr-HR" w:eastAsia="hr-HR"/>
              </w:rPr>
            </w:pPr>
          </w:p>
        </w:tc>
        <w:tc>
          <w:tcPr>
            <w:tcW w:w="1012" w:type="dxa"/>
            <w:vMerge/>
            <w:tcBorders>
              <w:top w:val="nil"/>
              <w:left w:val="nil"/>
              <w:bottom w:val="nil"/>
              <w:right w:val="nil"/>
            </w:tcBorders>
            <w:vAlign w:val="center"/>
          </w:tcPr>
          <w:p w:rsidR="003E4626" w:rsidRPr="002803EB" w:rsidRDefault="003E4626" w:rsidP="002803EB">
            <w:pPr>
              <w:suppressAutoHyphens w:val="0"/>
              <w:rPr>
                <w:rFonts w:ascii="Tele-GroteskEEHal" w:hAnsi="Tele-GroteskEEHal"/>
                <w:b/>
                <w:bCs/>
                <w:i/>
                <w:iCs/>
                <w:color w:val="FFFFFF"/>
                <w:kern w:val="0"/>
                <w:lang w:val="hr-HR" w:eastAsia="hr-HR"/>
              </w:rPr>
            </w:pPr>
          </w:p>
        </w:tc>
        <w:tc>
          <w:tcPr>
            <w:tcW w:w="836" w:type="dxa"/>
            <w:vMerge/>
            <w:tcBorders>
              <w:top w:val="nil"/>
              <w:left w:val="nil"/>
              <w:bottom w:val="nil"/>
              <w:right w:val="nil"/>
            </w:tcBorders>
            <w:vAlign w:val="center"/>
          </w:tcPr>
          <w:p w:rsidR="003E4626" w:rsidRPr="002803EB" w:rsidRDefault="003E4626" w:rsidP="002803EB">
            <w:pPr>
              <w:suppressAutoHyphens w:val="0"/>
              <w:rPr>
                <w:rFonts w:ascii="Tele-GroteskEEHal" w:hAnsi="Tele-GroteskEEHal"/>
                <w:b/>
                <w:bCs/>
                <w:color w:val="FFFFFF"/>
                <w:kern w:val="0"/>
                <w:lang w:val="hr-HR" w:eastAsia="hr-HR"/>
              </w:rPr>
            </w:pPr>
          </w:p>
        </w:tc>
        <w:tc>
          <w:tcPr>
            <w:tcW w:w="836" w:type="dxa"/>
            <w:vMerge/>
            <w:tcBorders>
              <w:top w:val="nil"/>
              <w:left w:val="nil"/>
              <w:bottom w:val="nil"/>
              <w:right w:val="nil"/>
            </w:tcBorders>
            <w:vAlign w:val="center"/>
          </w:tcPr>
          <w:p w:rsidR="003E4626" w:rsidRPr="002803EB" w:rsidRDefault="003E4626" w:rsidP="002803EB">
            <w:pPr>
              <w:suppressAutoHyphens w:val="0"/>
              <w:rPr>
                <w:rFonts w:ascii="Tele-GroteskEEHal" w:hAnsi="Tele-GroteskEEHal"/>
                <w:b/>
                <w:bCs/>
                <w:color w:val="FFFFFF"/>
                <w:kern w:val="0"/>
                <w:lang w:val="hr-HR" w:eastAsia="hr-HR"/>
              </w:rPr>
            </w:pPr>
          </w:p>
        </w:tc>
        <w:tc>
          <w:tcPr>
            <w:tcW w:w="1012" w:type="dxa"/>
            <w:vMerge/>
            <w:tcBorders>
              <w:top w:val="nil"/>
              <w:left w:val="nil"/>
              <w:bottom w:val="nil"/>
              <w:right w:val="nil"/>
            </w:tcBorders>
            <w:vAlign w:val="center"/>
          </w:tcPr>
          <w:p w:rsidR="003E4626" w:rsidRPr="002803EB" w:rsidRDefault="003E4626" w:rsidP="002803EB">
            <w:pPr>
              <w:suppressAutoHyphens w:val="0"/>
              <w:rPr>
                <w:rFonts w:ascii="Tele-GroteskEEHal" w:hAnsi="Tele-GroteskEEHal"/>
                <w:b/>
                <w:bCs/>
                <w:i/>
                <w:iCs/>
                <w:color w:val="FFFFFF"/>
                <w:kern w:val="0"/>
                <w:lang w:val="hr-HR" w:eastAsia="hr-HR"/>
              </w:rPr>
            </w:pP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Prihodi od govornih usluga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3.352</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3.820</w:t>
            </w:r>
          </w:p>
        </w:tc>
        <w:tc>
          <w:tcPr>
            <w:tcW w:w="1012" w:type="dxa"/>
            <w:tcBorders>
              <w:top w:val="nil"/>
              <w:left w:val="nil"/>
              <w:bottom w:val="nil"/>
              <w:right w:val="nil"/>
            </w:tcBorders>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-12,3%</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1.222</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1.377</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-11,3%</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Prihodi od negovornih usluga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1.946</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1.930</w:t>
            </w:r>
          </w:p>
        </w:tc>
        <w:tc>
          <w:tcPr>
            <w:tcW w:w="1012" w:type="dxa"/>
            <w:tcBorders>
              <w:top w:val="nil"/>
              <w:left w:val="nil"/>
              <w:bottom w:val="nil"/>
              <w:right w:val="nil"/>
            </w:tcBorders>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0,9%</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695</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686</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1,3%</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Ostali prihodi od usluga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535</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259</w:t>
            </w:r>
          </w:p>
        </w:tc>
        <w:tc>
          <w:tcPr>
            <w:tcW w:w="1012" w:type="dxa"/>
            <w:tcBorders>
              <w:top w:val="nil"/>
              <w:left w:val="nil"/>
              <w:bottom w:val="nil"/>
              <w:right w:val="nil"/>
            </w:tcBorders>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106,5%</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214</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110</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94,4%</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Terminalna oprema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161</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179</w:t>
            </w:r>
          </w:p>
        </w:tc>
        <w:tc>
          <w:tcPr>
            <w:tcW w:w="1012" w:type="dxa"/>
            <w:tcBorders>
              <w:top w:val="nil"/>
              <w:left w:val="nil"/>
              <w:bottom w:val="nil"/>
              <w:right w:val="nil"/>
            </w:tcBorders>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-10,0%</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48</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58</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-16,4%</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Razno</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98</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133</w:t>
            </w:r>
          </w:p>
        </w:tc>
        <w:tc>
          <w:tcPr>
            <w:tcW w:w="1012" w:type="dxa"/>
            <w:tcBorders>
              <w:top w:val="nil"/>
              <w:left w:val="nil"/>
              <w:bottom w:val="nil"/>
              <w:right w:val="nil"/>
            </w:tcBorders>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-25,9%</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30</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46</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-35,6%</w:t>
            </w:r>
          </w:p>
        </w:tc>
      </w:tr>
      <w:tr w:rsidR="003E4626" w:rsidRPr="002803EB" w:rsidTr="004B2998">
        <w:trPr>
          <w:trHeight w:val="342"/>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Prihod</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6.092</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6.321</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-3,6%</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2.209</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2.278</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-3,0%</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Ostali prihodi iz redovnog poslovanja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185</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104</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78,1%</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58</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28</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107,7%</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b/>
                <w:bCs/>
                <w:kern w:val="0"/>
                <w:lang w:val="hr-HR" w:eastAsia="hr-HR"/>
              </w:rPr>
            </w:pPr>
            <w:r w:rsidRPr="002803EB">
              <w:rPr>
                <w:rFonts w:ascii="Tele-GroteskEEHal" w:hAnsi="Tele-GroteskEEHal"/>
                <w:b/>
                <w:bCs/>
                <w:kern w:val="0"/>
                <w:sz w:val="22"/>
                <w:szCs w:val="22"/>
                <w:lang w:val="hr-HR" w:eastAsia="hr-HR"/>
              </w:rPr>
              <w:t>Ukupni operativni prihod</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6.278</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6.425</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-2,3%</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2.267</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2.305</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-1,7%</w:t>
            </w:r>
          </w:p>
        </w:tc>
      </w:tr>
      <w:tr w:rsidR="003E4626" w:rsidRPr="002803EB" w:rsidTr="004B2998">
        <w:trPr>
          <w:trHeight w:val="342"/>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Troškovi redovnog poslovanja</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3.478</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3.567</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-2,5%</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1.136</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1.168</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-2,7%</w:t>
            </w:r>
          </w:p>
        </w:tc>
      </w:tr>
      <w:tr w:rsidR="003E4626" w:rsidRPr="002803EB" w:rsidTr="004B2998">
        <w:trPr>
          <w:trHeight w:val="342"/>
        </w:trPr>
        <w:tc>
          <w:tcPr>
            <w:tcW w:w="3939" w:type="dxa"/>
            <w:tcBorders>
              <w:top w:val="nil"/>
              <w:left w:val="nil"/>
              <w:bottom w:val="nil"/>
              <w:right w:val="nil"/>
            </w:tcBorders>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Materijalni troškovi</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1.645</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1.628</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1,0%</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533</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512</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4,0%</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outlineLvl w:val="0"/>
              <w:rPr>
                <w:rFonts w:ascii="Tele-GroteskEEHal" w:hAnsi="Tele-GroteskEEHal"/>
                <w:kern w:val="0"/>
                <w:lang w:val="hr-HR" w:eastAsia="hr-HR"/>
              </w:rPr>
            </w:pPr>
            <w:r w:rsidRPr="002803EB">
              <w:rPr>
                <w:rFonts w:ascii="Tele-GroteskEEHal" w:hAnsi="Tele-GroteskEEHal"/>
                <w:kern w:val="0"/>
                <w:sz w:val="22"/>
                <w:szCs w:val="22"/>
                <w:lang w:val="hr-HR" w:eastAsia="hr-HR"/>
              </w:rPr>
              <w:t xml:space="preserve">     Troškovi trgovačke robe, materijala i energije</w:t>
            </w:r>
          </w:p>
        </w:tc>
        <w:tc>
          <w:tcPr>
            <w:tcW w:w="835" w:type="dxa"/>
            <w:tcBorders>
              <w:top w:val="nil"/>
              <w:left w:val="nil"/>
              <w:bottom w:val="nil"/>
              <w:right w:val="nil"/>
            </w:tcBorders>
            <w:noWrap/>
            <w:vAlign w:val="center"/>
          </w:tcPr>
          <w:p w:rsidR="003E4626" w:rsidRPr="002803EB" w:rsidRDefault="003E4626" w:rsidP="002803EB">
            <w:pPr>
              <w:suppressAutoHyphens w:val="0"/>
              <w:jc w:val="right"/>
              <w:outlineLvl w:val="0"/>
              <w:rPr>
                <w:rFonts w:ascii="Tele-GroteskEEHal" w:hAnsi="Tele-GroteskEEHal"/>
                <w:kern w:val="0"/>
                <w:lang w:val="hr-HR" w:eastAsia="hr-HR"/>
              </w:rPr>
            </w:pPr>
            <w:r w:rsidRPr="002803EB">
              <w:rPr>
                <w:rFonts w:ascii="Tele-GroteskEEHal" w:hAnsi="Tele-GroteskEEHal"/>
                <w:kern w:val="0"/>
                <w:sz w:val="22"/>
                <w:szCs w:val="22"/>
                <w:lang w:val="hr-HR" w:eastAsia="hr-HR"/>
              </w:rPr>
              <w:t>779</w:t>
            </w:r>
          </w:p>
        </w:tc>
        <w:tc>
          <w:tcPr>
            <w:tcW w:w="836" w:type="dxa"/>
            <w:tcBorders>
              <w:top w:val="nil"/>
              <w:left w:val="nil"/>
              <w:bottom w:val="nil"/>
              <w:right w:val="nil"/>
            </w:tcBorders>
            <w:noWrap/>
            <w:vAlign w:val="center"/>
          </w:tcPr>
          <w:p w:rsidR="003E4626" w:rsidRPr="002803EB" w:rsidRDefault="003E4626" w:rsidP="002803EB">
            <w:pPr>
              <w:suppressAutoHyphens w:val="0"/>
              <w:jc w:val="right"/>
              <w:outlineLvl w:val="0"/>
              <w:rPr>
                <w:rFonts w:ascii="Tele-GroteskEEHal" w:hAnsi="Tele-GroteskEEHal"/>
                <w:kern w:val="0"/>
                <w:lang w:val="hr-HR" w:eastAsia="hr-HR"/>
              </w:rPr>
            </w:pPr>
            <w:r w:rsidRPr="002803EB">
              <w:rPr>
                <w:rFonts w:ascii="Tele-GroteskEEHal" w:hAnsi="Tele-GroteskEEHal"/>
                <w:kern w:val="0"/>
                <w:sz w:val="22"/>
                <w:szCs w:val="22"/>
                <w:lang w:val="hr-HR" w:eastAsia="hr-HR"/>
              </w:rPr>
              <w:t>724</w:t>
            </w:r>
          </w:p>
        </w:tc>
        <w:tc>
          <w:tcPr>
            <w:tcW w:w="1012" w:type="dxa"/>
            <w:tcBorders>
              <w:top w:val="nil"/>
              <w:left w:val="nil"/>
              <w:bottom w:val="nil"/>
              <w:right w:val="nil"/>
            </w:tcBorders>
            <w:vAlign w:val="center"/>
          </w:tcPr>
          <w:p w:rsidR="003E4626" w:rsidRPr="002803EB" w:rsidRDefault="003E4626" w:rsidP="002803EB">
            <w:pPr>
              <w:suppressAutoHyphens w:val="0"/>
              <w:jc w:val="right"/>
              <w:outlineLvl w:val="0"/>
              <w:rPr>
                <w:rFonts w:ascii="Tele-GroteskEEHal" w:hAnsi="Tele-GroteskEEHal"/>
                <w:i/>
                <w:iCs/>
                <w:kern w:val="0"/>
                <w:lang w:val="hr-HR" w:eastAsia="hr-HR"/>
              </w:rPr>
            </w:pPr>
            <w:r w:rsidRPr="002803EB">
              <w:rPr>
                <w:rFonts w:ascii="Tele-GroteskEEHal" w:hAnsi="Tele-GroteskEEHal"/>
                <w:i/>
                <w:iCs/>
                <w:kern w:val="0"/>
                <w:sz w:val="22"/>
                <w:szCs w:val="22"/>
                <w:lang w:val="hr-HR" w:eastAsia="hr-HR"/>
              </w:rPr>
              <w:t>7,6%</w:t>
            </w:r>
          </w:p>
        </w:tc>
        <w:tc>
          <w:tcPr>
            <w:tcW w:w="836" w:type="dxa"/>
            <w:tcBorders>
              <w:top w:val="nil"/>
              <w:left w:val="nil"/>
              <w:bottom w:val="nil"/>
              <w:right w:val="nil"/>
            </w:tcBorders>
            <w:noWrap/>
            <w:vAlign w:val="bottom"/>
          </w:tcPr>
          <w:p w:rsidR="003E4626" w:rsidRPr="002803EB" w:rsidRDefault="003E4626" w:rsidP="002803EB">
            <w:pPr>
              <w:suppressAutoHyphens w:val="0"/>
              <w:jc w:val="right"/>
              <w:outlineLvl w:val="0"/>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235</w:t>
            </w:r>
          </w:p>
        </w:tc>
        <w:tc>
          <w:tcPr>
            <w:tcW w:w="836" w:type="dxa"/>
            <w:tcBorders>
              <w:top w:val="nil"/>
              <w:left w:val="nil"/>
              <w:bottom w:val="nil"/>
              <w:right w:val="nil"/>
            </w:tcBorders>
            <w:noWrap/>
            <w:vAlign w:val="bottom"/>
          </w:tcPr>
          <w:p w:rsidR="003E4626" w:rsidRPr="002803EB" w:rsidRDefault="003E4626" w:rsidP="002803EB">
            <w:pPr>
              <w:suppressAutoHyphens w:val="0"/>
              <w:jc w:val="right"/>
              <w:outlineLvl w:val="0"/>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213</w:t>
            </w:r>
          </w:p>
        </w:tc>
        <w:tc>
          <w:tcPr>
            <w:tcW w:w="1012" w:type="dxa"/>
            <w:tcBorders>
              <w:top w:val="nil"/>
              <w:left w:val="nil"/>
              <w:bottom w:val="nil"/>
              <w:right w:val="nil"/>
            </w:tcBorders>
            <w:noWrap/>
            <w:vAlign w:val="bottom"/>
          </w:tcPr>
          <w:p w:rsidR="003E4626" w:rsidRPr="002803EB" w:rsidRDefault="003E4626" w:rsidP="002803EB">
            <w:pPr>
              <w:suppressAutoHyphens w:val="0"/>
              <w:jc w:val="right"/>
              <w:outlineLvl w:val="0"/>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10,3%</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outlineLvl w:val="0"/>
              <w:rPr>
                <w:rFonts w:ascii="Tele-GroteskEEHal" w:hAnsi="Tele-GroteskEEHal"/>
                <w:kern w:val="0"/>
                <w:lang w:val="hr-HR" w:eastAsia="hr-HR"/>
              </w:rPr>
            </w:pPr>
            <w:r w:rsidRPr="002803EB">
              <w:rPr>
                <w:rFonts w:ascii="Tele-GroteskEEHal" w:hAnsi="Tele-GroteskEEHal"/>
                <w:kern w:val="0"/>
                <w:sz w:val="22"/>
                <w:szCs w:val="22"/>
                <w:lang w:val="hr-HR" w:eastAsia="hr-HR"/>
              </w:rPr>
              <w:t xml:space="preserve">     Troškovi usluga</w:t>
            </w:r>
          </w:p>
        </w:tc>
        <w:tc>
          <w:tcPr>
            <w:tcW w:w="835" w:type="dxa"/>
            <w:tcBorders>
              <w:top w:val="nil"/>
              <w:left w:val="nil"/>
              <w:bottom w:val="nil"/>
              <w:right w:val="nil"/>
            </w:tcBorders>
            <w:noWrap/>
            <w:vAlign w:val="center"/>
          </w:tcPr>
          <w:p w:rsidR="003E4626" w:rsidRPr="002803EB" w:rsidRDefault="003E4626" w:rsidP="002803EB">
            <w:pPr>
              <w:suppressAutoHyphens w:val="0"/>
              <w:jc w:val="right"/>
              <w:outlineLvl w:val="0"/>
              <w:rPr>
                <w:rFonts w:ascii="Tele-GroteskEEHal" w:hAnsi="Tele-GroteskEEHal"/>
                <w:kern w:val="0"/>
                <w:lang w:val="hr-HR" w:eastAsia="hr-HR"/>
              </w:rPr>
            </w:pPr>
            <w:r w:rsidRPr="002803EB">
              <w:rPr>
                <w:rFonts w:ascii="Tele-GroteskEEHal" w:hAnsi="Tele-GroteskEEHal"/>
                <w:kern w:val="0"/>
                <w:sz w:val="22"/>
                <w:szCs w:val="22"/>
                <w:lang w:val="hr-HR" w:eastAsia="hr-HR"/>
              </w:rPr>
              <w:t>866</w:t>
            </w:r>
          </w:p>
        </w:tc>
        <w:tc>
          <w:tcPr>
            <w:tcW w:w="836" w:type="dxa"/>
            <w:tcBorders>
              <w:top w:val="nil"/>
              <w:left w:val="nil"/>
              <w:bottom w:val="nil"/>
              <w:right w:val="nil"/>
            </w:tcBorders>
            <w:noWrap/>
            <w:vAlign w:val="center"/>
          </w:tcPr>
          <w:p w:rsidR="003E4626" w:rsidRPr="002803EB" w:rsidRDefault="003E4626" w:rsidP="002803EB">
            <w:pPr>
              <w:suppressAutoHyphens w:val="0"/>
              <w:jc w:val="right"/>
              <w:outlineLvl w:val="0"/>
              <w:rPr>
                <w:rFonts w:ascii="Tele-GroteskEEHal" w:hAnsi="Tele-GroteskEEHal"/>
                <w:kern w:val="0"/>
                <w:lang w:val="hr-HR" w:eastAsia="hr-HR"/>
              </w:rPr>
            </w:pPr>
            <w:r w:rsidRPr="002803EB">
              <w:rPr>
                <w:rFonts w:ascii="Tele-GroteskEEHal" w:hAnsi="Tele-GroteskEEHal"/>
                <w:kern w:val="0"/>
                <w:sz w:val="22"/>
                <w:szCs w:val="22"/>
                <w:lang w:val="hr-HR" w:eastAsia="hr-HR"/>
              </w:rPr>
              <w:t>904</w:t>
            </w:r>
          </w:p>
        </w:tc>
        <w:tc>
          <w:tcPr>
            <w:tcW w:w="1012" w:type="dxa"/>
            <w:tcBorders>
              <w:top w:val="nil"/>
              <w:left w:val="nil"/>
              <w:bottom w:val="nil"/>
              <w:right w:val="nil"/>
            </w:tcBorders>
            <w:vAlign w:val="center"/>
          </w:tcPr>
          <w:p w:rsidR="003E4626" w:rsidRPr="002803EB" w:rsidRDefault="003E4626" w:rsidP="002803EB">
            <w:pPr>
              <w:suppressAutoHyphens w:val="0"/>
              <w:jc w:val="right"/>
              <w:outlineLvl w:val="0"/>
              <w:rPr>
                <w:rFonts w:ascii="Tele-GroteskEEHal" w:hAnsi="Tele-GroteskEEHal"/>
                <w:i/>
                <w:iCs/>
                <w:kern w:val="0"/>
                <w:lang w:val="hr-HR" w:eastAsia="hr-HR"/>
              </w:rPr>
            </w:pPr>
            <w:r w:rsidRPr="002803EB">
              <w:rPr>
                <w:rFonts w:ascii="Tele-GroteskEEHal" w:hAnsi="Tele-GroteskEEHal"/>
                <w:i/>
                <w:iCs/>
                <w:kern w:val="0"/>
                <w:sz w:val="22"/>
                <w:szCs w:val="22"/>
                <w:lang w:val="hr-HR" w:eastAsia="hr-HR"/>
              </w:rPr>
              <w:t>-4,3%</w:t>
            </w:r>
          </w:p>
        </w:tc>
        <w:tc>
          <w:tcPr>
            <w:tcW w:w="836" w:type="dxa"/>
            <w:tcBorders>
              <w:top w:val="nil"/>
              <w:left w:val="nil"/>
              <w:bottom w:val="nil"/>
              <w:right w:val="nil"/>
            </w:tcBorders>
            <w:noWrap/>
            <w:vAlign w:val="bottom"/>
          </w:tcPr>
          <w:p w:rsidR="003E4626" w:rsidRPr="002803EB" w:rsidRDefault="003E4626" w:rsidP="002803EB">
            <w:pPr>
              <w:suppressAutoHyphens w:val="0"/>
              <w:jc w:val="right"/>
              <w:outlineLvl w:val="0"/>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298</w:t>
            </w:r>
          </w:p>
        </w:tc>
        <w:tc>
          <w:tcPr>
            <w:tcW w:w="836" w:type="dxa"/>
            <w:tcBorders>
              <w:top w:val="nil"/>
              <w:left w:val="nil"/>
              <w:bottom w:val="nil"/>
              <w:right w:val="nil"/>
            </w:tcBorders>
            <w:noWrap/>
            <w:vAlign w:val="bottom"/>
          </w:tcPr>
          <w:p w:rsidR="003E4626" w:rsidRPr="002803EB" w:rsidRDefault="003E4626" w:rsidP="002803EB">
            <w:pPr>
              <w:suppressAutoHyphens w:val="0"/>
              <w:jc w:val="right"/>
              <w:outlineLvl w:val="0"/>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299</w:t>
            </w:r>
          </w:p>
        </w:tc>
        <w:tc>
          <w:tcPr>
            <w:tcW w:w="1012" w:type="dxa"/>
            <w:tcBorders>
              <w:top w:val="nil"/>
              <w:left w:val="nil"/>
              <w:bottom w:val="nil"/>
              <w:right w:val="nil"/>
            </w:tcBorders>
            <w:noWrap/>
            <w:vAlign w:val="bottom"/>
          </w:tcPr>
          <w:p w:rsidR="003E4626" w:rsidRPr="002803EB" w:rsidRDefault="003E4626" w:rsidP="002803EB">
            <w:pPr>
              <w:suppressAutoHyphens w:val="0"/>
              <w:jc w:val="right"/>
              <w:outlineLvl w:val="0"/>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-0,5%</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Troškovi osoblja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860</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876</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-1,8%</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291</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296</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-1,7%</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Ostali troškovi</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975</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1.028</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-5,2%</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326</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370</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-12,0%</w:t>
            </w:r>
          </w:p>
        </w:tc>
      </w:tr>
      <w:tr w:rsidR="003E4626" w:rsidRPr="002803EB" w:rsidTr="004B2998">
        <w:trPr>
          <w:trHeight w:val="960"/>
        </w:trPr>
        <w:tc>
          <w:tcPr>
            <w:tcW w:w="3939" w:type="dxa"/>
            <w:tcBorders>
              <w:top w:val="nil"/>
              <w:left w:val="nil"/>
              <w:bottom w:val="nil"/>
              <w:right w:val="nil"/>
            </w:tcBorders>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 xml:space="preserve">Prihodi na temelju upotrebe vlastitih proizvoda, </w:t>
            </w:r>
            <w:r w:rsidRPr="002803EB">
              <w:rPr>
                <w:rFonts w:ascii="Tele-GroteskEEHal" w:hAnsi="Tele-GroteskEEHal"/>
                <w:kern w:val="0"/>
                <w:sz w:val="22"/>
                <w:szCs w:val="22"/>
                <w:lang w:val="hr-HR" w:eastAsia="hr-HR"/>
              </w:rPr>
              <w:br/>
              <w:t>robe i usluga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-49</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-55</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9,5%</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-17</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-32</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-46,6%</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Vrijednosno usklađivanje</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48</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89</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-46,3%</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4</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22</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-82,7%</w:t>
            </w:r>
          </w:p>
        </w:tc>
      </w:tr>
      <w:tr w:rsidR="003E4626" w:rsidRPr="002803EB" w:rsidTr="004B2998">
        <w:trPr>
          <w:trHeight w:val="342"/>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EBITDA</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2.799</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2.858</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-2,1%</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1.132</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1.137</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-0,5%</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Amortizacija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1.005</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988</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1,7%</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340</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323</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5,3%</w:t>
            </w:r>
          </w:p>
        </w:tc>
      </w:tr>
      <w:tr w:rsidR="003E4626" w:rsidRPr="002803EB" w:rsidTr="004B2998">
        <w:trPr>
          <w:trHeight w:val="342"/>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 xml:space="preserve">EBIT  </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1.794</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1.870</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-4,0%</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791</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814</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-2,9%</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Financijski prihod</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56</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43</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32,5%</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29</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6</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417,4%</w:t>
            </w:r>
          </w:p>
        </w:tc>
      </w:tr>
      <w:tr w:rsidR="003E4626" w:rsidRPr="002803EB" w:rsidTr="004B2998">
        <w:trPr>
          <w:trHeight w:val="660"/>
        </w:trPr>
        <w:tc>
          <w:tcPr>
            <w:tcW w:w="3939" w:type="dxa"/>
            <w:tcBorders>
              <w:top w:val="nil"/>
              <w:left w:val="nil"/>
              <w:bottom w:val="nil"/>
              <w:right w:val="nil"/>
            </w:tcBorders>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 xml:space="preserve">Prihod od pridruženih poduzetnika i </w:t>
            </w:r>
            <w:r w:rsidRPr="002803EB">
              <w:rPr>
                <w:rFonts w:ascii="Tele-GroteskEEHal" w:hAnsi="Tele-GroteskEEHal"/>
                <w:kern w:val="0"/>
                <w:sz w:val="22"/>
                <w:szCs w:val="22"/>
                <w:lang w:val="hr-HR" w:eastAsia="hr-HR"/>
              </w:rPr>
              <w:br/>
              <w:t>sudjelujućih interesa</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21</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6</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265,8%</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6</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0</w:t>
            </w:r>
          </w:p>
        </w:tc>
        <w:tc>
          <w:tcPr>
            <w:tcW w:w="1012" w:type="dxa"/>
            <w:tcBorders>
              <w:top w:val="nil"/>
              <w:left w:val="nil"/>
              <w:bottom w:val="nil"/>
              <w:right w:val="nil"/>
            </w:tcBorders>
            <w:noWrap/>
            <w:vAlign w:val="bottom"/>
          </w:tcPr>
          <w:p w:rsidR="003E4626" w:rsidRPr="002803EB" w:rsidRDefault="003E4626" w:rsidP="002803EB">
            <w:pPr>
              <w:suppressAutoHyphens w:val="0"/>
              <w:rPr>
                <w:rFonts w:ascii="Tele-GroteskEEHal" w:hAnsi="Tele-GroteskEEHal"/>
                <w:i/>
                <w:iCs/>
                <w:color w:val="000000"/>
                <w:kern w:val="0"/>
                <w:lang w:val="hr-HR" w:eastAsia="hr-HR"/>
              </w:rPr>
            </w:pP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Financijski rashod</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30</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63</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-52,8%</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5</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-8</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-162,1%</w:t>
            </w:r>
          </w:p>
        </w:tc>
      </w:tr>
      <w:tr w:rsidR="003E4626" w:rsidRPr="002803EB" w:rsidTr="004B2998">
        <w:trPr>
          <w:trHeight w:val="615"/>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Dobit iz redovnog poslovanja prije poreza</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1.842</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1.855</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-0,7%</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820</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828</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 </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Porez</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359</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370</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-3,0%</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166</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165</w:t>
            </w:r>
          </w:p>
        </w:tc>
        <w:tc>
          <w:tcPr>
            <w:tcW w:w="1012"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i/>
                <w:iCs/>
                <w:color w:val="000000"/>
                <w:kern w:val="0"/>
                <w:lang w:val="hr-HR" w:eastAsia="hr-HR"/>
              </w:rPr>
            </w:pPr>
            <w:r w:rsidRPr="002803EB">
              <w:rPr>
                <w:rFonts w:ascii="Tele-GroteskEEHal" w:hAnsi="Tele-GroteskEEHal"/>
                <w:i/>
                <w:iCs/>
                <w:color w:val="000000"/>
                <w:kern w:val="0"/>
                <w:sz w:val="22"/>
                <w:szCs w:val="22"/>
                <w:lang w:val="hr-HR" w:eastAsia="hr-HR"/>
              </w:rPr>
              <w:t>0,3%</w:t>
            </w:r>
          </w:p>
        </w:tc>
      </w:tr>
      <w:tr w:rsidR="003E4626" w:rsidRPr="002803EB" w:rsidTr="004B2998">
        <w:trPr>
          <w:trHeight w:val="342"/>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Neto dobit</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1.483</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1.485</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-0,1%</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655</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662</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-1,2%</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Manjinski interes</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0</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0</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0</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0</w:t>
            </w:r>
          </w:p>
        </w:tc>
        <w:tc>
          <w:tcPr>
            <w:tcW w:w="1012" w:type="dxa"/>
            <w:tcBorders>
              <w:top w:val="nil"/>
              <w:left w:val="nil"/>
              <w:bottom w:val="nil"/>
              <w:right w:val="nil"/>
            </w:tcBorders>
            <w:noWrap/>
            <w:vAlign w:val="bottom"/>
          </w:tcPr>
          <w:p w:rsidR="003E4626" w:rsidRPr="002803EB" w:rsidRDefault="003E4626" w:rsidP="002803EB">
            <w:pPr>
              <w:suppressAutoHyphens w:val="0"/>
              <w:rPr>
                <w:rFonts w:ascii="Tele-GroteskEEHal" w:hAnsi="Tele-GroteskEEHal"/>
                <w:i/>
                <w:iCs/>
                <w:color w:val="000000"/>
                <w:kern w:val="0"/>
                <w:lang w:val="hr-HR" w:eastAsia="hr-HR"/>
              </w:rPr>
            </w:pPr>
          </w:p>
        </w:tc>
      </w:tr>
      <w:tr w:rsidR="003E4626" w:rsidRPr="002803EB" w:rsidTr="004B2998">
        <w:trPr>
          <w:trHeight w:val="342"/>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Neto dobit nakon manjinskog interesa</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1.483</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1.484</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-0,1%</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655</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662</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-1,2%</w:t>
            </w:r>
          </w:p>
        </w:tc>
      </w:tr>
      <w:tr w:rsidR="003E4626" w:rsidRPr="002803EB" w:rsidTr="004B2998">
        <w:trPr>
          <w:trHeight w:val="342"/>
        </w:trPr>
        <w:tc>
          <w:tcPr>
            <w:tcW w:w="3939" w:type="dxa"/>
            <w:tcBorders>
              <w:top w:val="nil"/>
              <w:left w:val="nil"/>
              <w:bottom w:val="nil"/>
              <w:right w:val="nil"/>
            </w:tcBorders>
            <w:noWrap/>
            <w:vAlign w:val="center"/>
          </w:tcPr>
          <w:p w:rsidR="003E4626" w:rsidRPr="002803EB" w:rsidRDefault="003E4626" w:rsidP="002803EB">
            <w:pPr>
              <w:suppressAutoHyphens w:val="0"/>
              <w:rPr>
                <w:rFonts w:ascii="Tele-GroteskEEHal" w:hAnsi="Tele-GroteskEEHal"/>
                <w:kern w:val="0"/>
                <w:lang w:val="hr-HR" w:eastAsia="hr-HR"/>
              </w:rPr>
            </w:pPr>
            <w:r w:rsidRPr="002803EB">
              <w:rPr>
                <w:rFonts w:ascii="Tele-GroteskEEHal" w:hAnsi="Tele-GroteskEEHal"/>
                <w:kern w:val="0"/>
                <w:sz w:val="22"/>
                <w:szCs w:val="22"/>
                <w:lang w:val="hr-HR" w:eastAsia="hr-HR"/>
              </w:rPr>
              <w:t>Jednokratne stavke</w:t>
            </w:r>
          </w:p>
        </w:tc>
        <w:tc>
          <w:tcPr>
            <w:tcW w:w="835"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0</w:t>
            </w:r>
          </w:p>
        </w:tc>
        <w:tc>
          <w:tcPr>
            <w:tcW w:w="836"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kern w:val="0"/>
                <w:lang w:val="hr-HR" w:eastAsia="hr-HR"/>
              </w:rPr>
            </w:pPr>
            <w:r w:rsidRPr="002803EB">
              <w:rPr>
                <w:rFonts w:ascii="Tele-GroteskEEHal" w:hAnsi="Tele-GroteskEEHal"/>
                <w:kern w:val="0"/>
                <w:sz w:val="22"/>
                <w:szCs w:val="22"/>
                <w:lang w:val="hr-HR" w:eastAsia="hr-HR"/>
              </w:rPr>
              <w:t>0</w:t>
            </w:r>
          </w:p>
        </w:tc>
        <w:tc>
          <w:tcPr>
            <w:tcW w:w="1012" w:type="dxa"/>
            <w:tcBorders>
              <w:top w:val="nil"/>
              <w:left w:val="nil"/>
              <w:bottom w:val="nil"/>
              <w:right w:val="nil"/>
            </w:tcBorders>
            <w:noWrap/>
            <w:vAlign w:val="center"/>
          </w:tcPr>
          <w:p w:rsidR="003E4626" w:rsidRPr="002803EB" w:rsidRDefault="003E4626" w:rsidP="002803EB">
            <w:pPr>
              <w:suppressAutoHyphens w:val="0"/>
              <w:jc w:val="right"/>
              <w:rPr>
                <w:rFonts w:ascii="Tele-GroteskEEHal" w:hAnsi="Tele-GroteskEEHal"/>
                <w:i/>
                <w:iCs/>
                <w:kern w:val="0"/>
                <w:lang w:val="hr-HR" w:eastAsia="hr-HR"/>
              </w:rPr>
            </w:pPr>
            <w:r w:rsidRPr="002803EB">
              <w:rPr>
                <w:rFonts w:ascii="Tele-GroteskEEHal" w:hAnsi="Tele-GroteskEEHal"/>
                <w:i/>
                <w:iCs/>
                <w:kern w:val="0"/>
                <w:sz w:val="22"/>
                <w:szCs w:val="22"/>
                <w:lang w:val="hr-HR" w:eastAsia="hr-HR"/>
              </w:rPr>
              <w:t>-</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0</w:t>
            </w:r>
          </w:p>
        </w:tc>
        <w:tc>
          <w:tcPr>
            <w:tcW w:w="836" w:type="dxa"/>
            <w:tcBorders>
              <w:top w:val="nil"/>
              <w:left w:val="nil"/>
              <w:bottom w:val="nil"/>
              <w:right w:val="nil"/>
            </w:tcBorders>
            <w:noWrap/>
            <w:vAlign w:val="bottom"/>
          </w:tcPr>
          <w:p w:rsidR="003E4626" w:rsidRPr="002803EB" w:rsidRDefault="003E4626" w:rsidP="002803EB">
            <w:pPr>
              <w:suppressAutoHyphens w:val="0"/>
              <w:jc w:val="right"/>
              <w:rPr>
                <w:rFonts w:ascii="Tele-GroteskEEHal" w:hAnsi="Tele-GroteskEEHal"/>
                <w:color w:val="000000"/>
                <w:kern w:val="0"/>
                <w:lang w:val="hr-HR" w:eastAsia="hr-HR"/>
              </w:rPr>
            </w:pPr>
            <w:r w:rsidRPr="002803EB">
              <w:rPr>
                <w:rFonts w:ascii="Tele-GroteskEEHal" w:hAnsi="Tele-GroteskEEHal"/>
                <w:color w:val="000000"/>
                <w:kern w:val="0"/>
                <w:sz w:val="22"/>
                <w:szCs w:val="22"/>
                <w:lang w:val="hr-HR" w:eastAsia="hr-HR"/>
              </w:rPr>
              <w:t>0</w:t>
            </w:r>
          </w:p>
        </w:tc>
        <w:tc>
          <w:tcPr>
            <w:tcW w:w="1012" w:type="dxa"/>
            <w:tcBorders>
              <w:top w:val="nil"/>
              <w:left w:val="nil"/>
              <w:bottom w:val="nil"/>
              <w:right w:val="nil"/>
            </w:tcBorders>
            <w:noWrap/>
            <w:vAlign w:val="bottom"/>
          </w:tcPr>
          <w:p w:rsidR="003E4626" w:rsidRPr="002803EB" w:rsidRDefault="003E4626" w:rsidP="002803EB">
            <w:pPr>
              <w:suppressAutoHyphens w:val="0"/>
              <w:rPr>
                <w:rFonts w:ascii="Tele-GroteskEEHal" w:hAnsi="Tele-GroteskEEHal"/>
                <w:i/>
                <w:iCs/>
                <w:color w:val="000000"/>
                <w:kern w:val="0"/>
                <w:lang w:val="hr-HR" w:eastAsia="hr-HR"/>
              </w:rPr>
            </w:pPr>
          </w:p>
        </w:tc>
      </w:tr>
      <w:tr w:rsidR="003E4626" w:rsidRPr="002803EB" w:rsidTr="004B2998">
        <w:trPr>
          <w:trHeight w:val="342"/>
        </w:trPr>
        <w:tc>
          <w:tcPr>
            <w:tcW w:w="3939" w:type="dxa"/>
            <w:tcBorders>
              <w:top w:val="nil"/>
              <w:left w:val="nil"/>
              <w:bottom w:val="nil"/>
              <w:right w:val="nil"/>
            </w:tcBorders>
            <w:shd w:val="clear" w:color="auto" w:fill="E20074"/>
            <w:vAlign w:val="center"/>
          </w:tcPr>
          <w:p w:rsidR="003E4626" w:rsidRPr="002803EB" w:rsidRDefault="003E4626" w:rsidP="002803EB">
            <w:pPr>
              <w:suppressAutoHyphens w:val="0"/>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EBITDA prije jednokratnih stavki</w:t>
            </w:r>
          </w:p>
        </w:tc>
        <w:tc>
          <w:tcPr>
            <w:tcW w:w="835"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2.799</w:t>
            </w:r>
          </w:p>
        </w:tc>
        <w:tc>
          <w:tcPr>
            <w:tcW w:w="836"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2.858</w:t>
            </w:r>
          </w:p>
        </w:tc>
        <w:tc>
          <w:tcPr>
            <w:tcW w:w="1012" w:type="dxa"/>
            <w:tcBorders>
              <w:top w:val="nil"/>
              <w:left w:val="nil"/>
              <w:bottom w:val="nil"/>
              <w:right w:val="nil"/>
            </w:tcBorders>
            <w:shd w:val="clear" w:color="auto" w:fill="E20074"/>
            <w:vAlign w:val="center"/>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-2,1%</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1.132</w:t>
            </w:r>
          </w:p>
        </w:tc>
        <w:tc>
          <w:tcPr>
            <w:tcW w:w="836"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color w:val="FFFFFF"/>
                <w:kern w:val="0"/>
                <w:lang w:val="hr-HR" w:eastAsia="hr-HR"/>
              </w:rPr>
            </w:pPr>
            <w:r w:rsidRPr="002803EB">
              <w:rPr>
                <w:rFonts w:ascii="Tele-GroteskEEHal" w:hAnsi="Tele-GroteskEEHal"/>
                <w:b/>
                <w:bCs/>
                <w:color w:val="FFFFFF"/>
                <w:kern w:val="0"/>
                <w:sz w:val="22"/>
                <w:szCs w:val="22"/>
                <w:lang w:val="hr-HR" w:eastAsia="hr-HR"/>
              </w:rPr>
              <w:t>1.137</w:t>
            </w:r>
          </w:p>
        </w:tc>
        <w:tc>
          <w:tcPr>
            <w:tcW w:w="1012" w:type="dxa"/>
            <w:tcBorders>
              <w:top w:val="nil"/>
              <w:left w:val="nil"/>
              <w:bottom w:val="nil"/>
              <w:right w:val="nil"/>
            </w:tcBorders>
            <w:shd w:val="clear" w:color="auto" w:fill="E20074"/>
            <w:vAlign w:val="bottom"/>
          </w:tcPr>
          <w:p w:rsidR="003E4626" w:rsidRPr="002803EB" w:rsidRDefault="003E4626" w:rsidP="002803EB">
            <w:pPr>
              <w:suppressAutoHyphens w:val="0"/>
              <w:jc w:val="right"/>
              <w:rPr>
                <w:rFonts w:ascii="Tele-GroteskEEHal" w:hAnsi="Tele-GroteskEEHal"/>
                <w:b/>
                <w:bCs/>
                <w:i/>
                <w:iCs/>
                <w:color w:val="FFFFFF"/>
                <w:kern w:val="0"/>
                <w:lang w:val="hr-HR" w:eastAsia="hr-HR"/>
              </w:rPr>
            </w:pPr>
            <w:r w:rsidRPr="002803EB">
              <w:rPr>
                <w:rFonts w:ascii="Tele-GroteskEEHal" w:hAnsi="Tele-GroteskEEHal"/>
                <w:b/>
                <w:bCs/>
                <w:i/>
                <w:iCs/>
                <w:color w:val="FFFFFF"/>
                <w:kern w:val="0"/>
                <w:sz w:val="22"/>
                <w:szCs w:val="22"/>
                <w:lang w:val="hr-HR" w:eastAsia="hr-HR"/>
              </w:rPr>
              <w:t>-0,5%</w:t>
            </w:r>
          </w:p>
        </w:tc>
      </w:tr>
    </w:tbl>
    <w:p w:rsidR="003E4626" w:rsidRDefault="003E4626" w:rsidP="00F15CC7">
      <w:pPr>
        <w:spacing w:before="240" w:after="240"/>
        <w:jc w:val="both"/>
        <w:outlineLvl w:val="0"/>
        <w:rPr>
          <w:rFonts w:ascii="Tele-GroteskEEHal" w:hAnsi="Tele-GroteskEEHal"/>
          <w:b/>
          <w:bCs/>
          <w:sz w:val="22"/>
          <w:szCs w:val="22"/>
          <w:lang w:val="hr-HR"/>
        </w:rPr>
      </w:pPr>
      <w:r w:rsidRPr="00960D6B">
        <w:rPr>
          <w:rFonts w:ascii="Tele-GroteskEEHal" w:hAnsi="Tele-GroteskEEHal"/>
          <w:b/>
          <w:bCs/>
          <w:sz w:val="22"/>
          <w:szCs w:val="22"/>
          <w:lang w:val="hr-HR"/>
        </w:rPr>
        <w:t>Konsolidirana bilanca</w:t>
      </w:r>
    </w:p>
    <w:tbl>
      <w:tblPr>
        <w:tblW w:w="8760" w:type="dxa"/>
        <w:tblInd w:w="108" w:type="dxa"/>
        <w:tblLook w:val="0000"/>
      </w:tblPr>
      <w:tblGrid>
        <w:gridCol w:w="4979"/>
        <w:gridCol w:w="1192"/>
        <w:gridCol w:w="1192"/>
        <w:gridCol w:w="1397"/>
      </w:tblGrid>
      <w:tr w:rsidR="003E4626" w:rsidRPr="00CA13BC" w:rsidTr="00CA13BC">
        <w:trPr>
          <w:trHeight w:val="300"/>
        </w:trPr>
        <w:tc>
          <w:tcPr>
            <w:tcW w:w="4979" w:type="dxa"/>
            <w:vMerge w:val="restart"/>
            <w:tcBorders>
              <w:top w:val="nil"/>
              <w:left w:val="nil"/>
              <w:bottom w:val="nil"/>
              <w:right w:val="nil"/>
            </w:tcBorders>
            <w:shd w:val="clear" w:color="auto" w:fill="E20074"/>
            <w:noWrap/>
            <w:vAlign w:val="center"/>
          </w:tcPr>
          <w:p w:rsidR="003E4626" w:rsidRPr="00CA13BC" w:rsidRDefault="003E4626" w:rsidP="00CA13BC">
            <w:pPr>
              <w:suppressAutoHyphens w:val="0"/>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u milijunima kuna (MSFI)</w:t>
            </w:r>
          </w:p>
        </w:tc>
        <w:tc>
          <w:tcPr>
            <w:tcW w:w="1192" w:type="dxa"/>
            <w:vMerge w:val="restart"/>
            <w:tcBorders>
              <w:top w:val="nil"/>
              <w:left w:val="nil"/>
              <w:bottom w:val="nil"/>
              <w:right w:val="nil"/>
            </w:tcBorders>
            <w:shd w:val="clear" w:color="auto" w:fill="E20074"/>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30. Ruj.</w:t>
            </w:r>
            <w:r w:rsidRPr="00CA13BC">
              <w:rPr>
                <w:rFonts w:ascii="Tele-GroteskEEHal" w:hAnsi="Tele-GroteskEEHal"/>
                <w:b/>
                <w:bCs/>
                <w:color w:val="FFFFFF"/>
                <w:kern w:val="0"/>
                <w:sz w:val="22"/>
                <w:szCs w:val="22"/>
                <w:lang w:val="hr-HR" w:eastAsia="hr-HR"/>
              </w:rPr>
              <w:br/>
              <w:t>2011.</w:t>
            </w:r>
          </w:p>
        </w:tc>
        <w:tc>
          <w:tcPr>
            <w:tcW w:w="1192" w:type="dxa"/>
            <w:vMerge w:val="restart"/>
            <w:tcBorders>
              <w:top w:val="nil"/>
              <w:left w:val="nil"/>
              <w:bottom w:val="nil"/>
              <w:right w:val="nil"/>
            </w:tcBorders>
            <w:shd w:val="clear" w:color="auto" w:fill="E20074"/>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31. Pros.</w:t>
            </w:r>
            <w:r w:rsidRPr="00CA13BC">
              <w:rPr>
                <w:rFonts w:ascii="Tele-GroteskEEHal" w:hAnsi="Tele-GroteskEEHal"/>
                <w:b/>
                <w:bCs/>
                <w:color w:val="FFFFFF"/>
                <w:kern w:val="0"/>
                <w:sz w:val="22"/>
                <w:szCs w:val="22"/>
                <w:lang w:val="hr-HR" w:eastAsia="hr-HR"/>
              </w:rPr>
              <w:br/>
              <w:t>2010.</w:t>
            </w:r>
          </w:p>
        </w:tc>
        <w:tc>
          <w:tcPr>
            <w:tcW w:w="1397" w:type="dxa"/>
            <w:vMerge w:val="restart"/>
            <w:tcBorders>
              <w:top w:val="nil"/>
              <w:left w:val="nil"/>
              <w:bottom w:val="nil"/>
              <w:right w:val="nil"/>
            </w:tcBorders>
            <w:shd w:val="clear" w:color="auto" w:fill="E20074"/>
            <w:vAlign w:val="center"/>
          </w:tcPr>
          <w:p w:rsidR="003E4626" w:rsidRPr="00CA13BC" w:rsidRDefault="003E4626" w:rsidP="00CA13BC">
            <w:pPr>
              <w:suppressAutoHyphens w:val="0"/>
              <w:jc w:val="right"/>
              <w:rPr>
                <w:rFonts w:ascii="Tele-GroteskEEHal" w:hAnsi="Tele-GroteskEEHal"/>
                <w:b/>
                <w:bCs/>
                <w:i/>
                <w:iCs/>
                <w:color w:val="FFFFFF"/>
                <w:kern w:val="0"/>
                <w:lang w:val="hr-HR" w:eastAsia="hr-HR"/>
              </w:rPr>
            </w:pPr>
            <w:r w:rsidRPr="00CA13BC">
              <w:rPr>
                <w:rFonts w:ascii="Tele-GroteskEEHal" w:hAnsi="Tele-GroteskEEHal"/>
                <w:b/>
                <w:bCs/>
                <w:i/>
                <w:iCs/>
                <w:color w:val="FFFFFF"/>
                <w:kern w:val="0"/>
                <w:sz w:val="22"/>
                <w:szCs w:val="22"/>
                <w:lang w:val="hr-HR" w:eastAsia="hr-HR"/>
              </w:rPr>
              <w:t xml:space="preserve">% promjene </w:t>
            </w:r>
            <w:r w:rsidRPr="00CA13BC">
              <w:rPr>
                <w:rFonts w:ascii="Tele-GroteskEEHal" w:hAnsi="Tele-GroteskEEHal"/>
                <w:b/>
                <w:bCs/>
                <w:i/>
                <w:iCs/>
                <w:color w:val="FFFFFF"/>
                <w:kern w:val="0"/>
                <w:sz w:val="22"/>
                <w:szCs w:val="22"/>
                <w:lang w:val="hr-HR" w:eastAsia="hr-HR"/>
              </w:rPr>
              <w:br/>
              <w:t>11/10</w:t>
            </w:r>
          </w:p>
        </w:tc>
      </w:tr>
      <w:tr w:rsidR="003E4626" w:rsidRPr="00CA13BC" w:rsidTr="00CA13BC">
        <w:trPr>
          <w:trHeight w:val="499"/>
        </w:trPr>
        <w:tc>
          <w:tcPr>
            <w:tcW w:w="4979" w:type="dxa"/>
            <w:vMerge/>
            <w:tcBorders>
              <w:top w:val="nil"/>
              <w:left w:val="nil"/>
              <w:bottom w:val="nil"/>
              <w:right w:val="nil"/>
            </w:tcBorders>
            <w:vAlign w:val="center"/>
          </w:tcPr>
          <w:p w:rsidR="003E4626" w:rsidRPr="00CA13BC" w:rsidRDefault="003E4626" w:rsidP="00CA13BC">
            <w:pPr>
              <w:suppressAutoHyphens w:val="0"/>
              <w:rPr>
                <w:rFonts w:ascii="Tele-GroteskEEHal" w:hAnsi="Tele-GroteskEEHal"/>
                <w:b/>
                <w:bCs/>
                <w:color w:val="FFFFFF"/>
                <w:kern w:val="0"/>
                <w:lang w:val="hr-HR" w:eastAsia="hr-HR"/>
              </w:rPr>
            </w:pPr>
          </w:p>
        </w:tc>
        <w:tc>
          <w:tcPr>
            <w:tcW w:w="1192" w:type="dxa"/>
            <w:vMerge/>
            <w:tcBorders>
              <w:top w:val="nil"/>
              <w:left w:val="nil"/>
              <w:bottom w:val="nil"/>
              <w:right w:val="nil"/>
            </w:tcBorders>
            <w:vAlign w:val="center"/>
          </w:tcPr>
          <w:p w:rsidR="003E4626" w:rsidRPr="00CA13BC" w:rsidRDefault="003E4626" w:rsidP="00CA13BC">
            <w:pPr>
              <w:suppressAutoHyphens w:val="0"/>
              <w:rPr>
                <w:rFonts w:ascii="Tele-GroteskEEHal" w:hAnsi="Tele-GroteskEEHal"/>
                <w:b/>
                <w:bCs/>
                <w:color w:val="FFFFFF"/>
                <w:kern w:val="0"/>
                <w:lang w:val="hr-HR" w:eastAsia="hr-HR"/>
              </w:rPr>
            </w:pPr>
          </w:p>
        </w:tc>
        <w:tc>
          <w:tcPr>
            <w:tcW w:w="1192" w:type="dxa"/>
            <w:vMerge/>
            <w:tcBorders>
              <w:top w:val="nil"/>
              <w:left w:val="nil"/>
              <w:bottom w:val="nil"/>
              <w:right w:val="nil"/>
            </w:tcBorders>
            <w:vAlign w:val="center"/>
          </w:tcPr>
          <w:p w:rsidR="003E4626" w:rsidRPr="00CA13BC" w:rsidRDefault="003E4626" w:rsidP="00CA13BC">
            <w:pPr>
              <w:suppressAutoHyphens w:val="0"/>
              <w:rPr>
                <w:rFonts w:ascii="Tele-GroteskEEHal" w:hAnsi="Tele-GroteskEEHal"/>
                <w:b/>
                <w:bCs/>
                <w:color w:val="FFFFFF"/>
                <w:kern w:val="0"/>
                <w:lang w:val="hr-HR" w:eastAsia="hr-HR"/>
              </w:rPr>
            </w:pPr>
          </w:p>
        </w:tc>
        <w:tc>
          <w:tcPr>
            <w:tcW w:w="1397" w:type="dxa"/>
            <w:vMerge/>
            <w:tcBorders>
              <w:top w:val="nil"/>
              <w:left w:val="nil"/>
              <w:bottom w:val="nil"/>
              <w:right w:val="nil"/>
            </w:tcBorders>
            <w:vAlign w:val="center"/>
          </w:tcPr>
          <w:p w:rsidR="003E4626" w:rsidRPr="00CA13BC" w:rsidRDefault="003E4626" w:rsidP="00CA13BC">
            <w:pPr>
              <w:suppressAutoHyphens w:val="0"/>
              <w:rPr>
                <w:rFonts w:ascii="Tele-GroteskEEHal" w:hAnsi="Tele-GroteskEEHal"/>
                <w:b/>
                <w:bCs/>
                <w:i/>
                <w:iCs/>
                <w:color w:val="FFFFFF"/>
                <w:kern w:val="0"/>
                <w:lang w:val="hr-HR" w:eastAsia="hr-HR"/>
              </w:rPr>
            </w:pP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Nematerijalna imovina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1.030</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1.162</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-11,4%</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Materijalna imovina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6.090</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6.336</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-3,9%</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Dugotrajna financijska imovina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443</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422</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5,0%</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Potraživanja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24</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31</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-23,0%</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Odgođena porezna imovina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50</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57</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-11,6%</w:t>
            </w:r>
          </w:p>
        </w:tc>
      </w:tr>
      <w:tr w:rsidR="003E4626" w:rsidRPr="00CA13BC" w:rsidTr="00CA13BC">
        <w:trPr>
          <w:trHeight w:val="342"/>
        </w:trPr>
        <w:tc>
          <w:tcPr>
            <w:tcW w:w="4979"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Ukupna dugotrajna imovina</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7.637</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8.008</w:t>
            </w:r>
          </w:p>
        </w:tc>
        <w:tc>
          <w:tcPr>
            <w:tcW w:w="1397"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-4,6%</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Zalihe</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189</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216</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-12,6%</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Potraživanja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1.351</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1.504</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-10,1%</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Kratkotrajna financijska imovina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711</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465</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52,9%</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Novac u banci i blagajni</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2.478</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3.282</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-24,5%</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Plaćeni troškovi budućeg razdoblja i obračunati prihodi</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167</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110</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51,5%</w:t>
            </w:r>
          </w:p>
        </w:tc>
      </w:tr>
      <w:tr w:rsidR="003E4626" w:rsidRPr="00CA13BC" w:rsidTr="00CA13BC">
        <w:trPr>
          <w:trHeight w:val="342"/>
        </w:trPr>
        <w:tc>
          <w:tcPr>
            <w:tcW w:w="4979"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Ukupna kratkotrajna imovina</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4.895</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5.577</w:t>
            </w:r>
          </w:p>
        </w:tc>
        <w:tc>
          <w:tcPr>
            <w:tcW w:w="1397"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-12,2%</w:t>
            </w:r>
          </w:p>
        </w:tc>
      </w:tr>
      <w:tr w:rsidR="003E4626" w:rsidRPr="00CA13BC" w:rsidTr="00CA13BC">
        <w:trPr>
          <w:trHeight w:val="342"/>
        </w:trPr>
        <w:tc>
          <w:tcPr>
            <w:tcW w:w="4979" w:type="dxa"/>
            <w:tcBorders>
              <w:top w:val="nil"/>
              <w:left w:val="nil"/>
              <w:bottom w:val="nil"/>
              <w:right w:val="nil"/>
            </w:tcBorders>
            <w:shd w:val="clear" w:color="auto" w:fill="E20074"/>
            <w:noWrap/>
            <w:vAlign w:val="center"/>
          </w:tcPr>
          <w:p w:rsidR="003E4626" w:rsidRPr="00CA13BC" w:rsidRDefault="003E4626" w:rsidP="00CA13BC">
            <w:pPr>
              <w:suppressAutoHyphens w:val="0"/>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UKUPNA AKTIVA</w:t>
            </w:r>
          </w:p>
        </w:tc>
        <w:tc>
          <w:tcPr>
            <w:tcW w:w="1192" w:type="dxa"/>
            <w:tcBorders>
              <w:top w:val="nil"/>
              <w:left w:val="nil"/>
              <w:bottom w:val="nil"/>
              <w:right w:val="nil"/>
            </w:tcBorders>
            <w:shd w:val="clear" w:color="auto" w:fill="E20074"/>
            <w:noWrap/>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12.532</w:t>
            </w:r>
          </w:p>
        </w:tc>
        <w:tc>
          <w:tcPr>
            <w:tcW w:w="1192" w:type="dxa"/>
            <w:tcBorders>
              <w:top w:val="nil"/>
              <w:left w:val="nil"/>
              <w:bottom w:val="nil"/>
              <w:right w:val="nil"/>
            </w:tcBorders>
            <w:shd w:val="clear" w:color="auto" w:fill="E20074"/>
            <w:noWrap/>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13.585</w:t>
            </w:r>
          </w:p>
        </w:tc>
        <w:tc>
          <w:tcPr>
            <w:tcW w:w="1397" w:type="dxa"/>
            <w:tcBorders>
              <w:top w:val="nil"/>
              <w:left w:val="nil"/>
              <w:bottom w:val="nil"/>
              <w:right w:val="nil"/>
            </w:tcBorders>
            <w:shd w:val="clear" w:color="auto" w:fill="E20074"/>
            <w:noWrap/>
            <w:vAlign w:val="center"/>
          </w:tcPr>
          <w:p w:rsidR="003E4626" w:rsidRPr="00CA13BC" w:rsidRDefault="003E4626" w:rsidP="00CA13BC">
            <w:pPr>
              <w:suppressAutoHyphens w:val="0"/>
              <w:jc w:val="right"/>
              <w:rPr>
                <w:rFonts w:ascii="Tele-GroteskEEHal" w:hAnsi="Tele-GroteskEEHal"/>
                <w:b/>
                <w:bCs/>
                <w:i/>
                <w:iCs/>
                <w:color w:val="FFFFFF"/>
                <w:kern w:val="0"/>
                <w:lang w:val="hr-HR" w:eastAsia="hr-HR"/>
              </w:rPr>
            </w:pPr>
            <w:r w:rsidRPr="00CA13BC">
              <w:rPr>
                <w:rFonts w:ascii="Tele-GroteskEEHal" w:hAnsi="Tele-GroteskEEHal"/>
                <w:b/>
                <w:bCs/>
                <w:i/>
                <w:iCs/>
                <w:color w:val="FFFFFF"/>
                <w:kern w:val="0"/>
                <w:sz w:val="22"/>
                <w:szCs w:val="22"/>
                <w:lang w:val="hr-HR" w:eastAsia="hr-HR"/>
              </w:rPr>
              <w:t>-7,7%</w:t>
            </w:r>
          </w:p>
        </w:tc>
      </w:tr>
      <w:tr w:rsidR="003E4626" w:rsidRPr="00CA13BC" w:rsidTr="00CA13BC">
        <w:trPr>
          <w:trHeight w:val="300"/>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kern w:val="0"/>
                <w:lang w:val="hr-HR" w:eastAsia="hr-HR"/>
              </w:rPr>
            </w:pPr>
          </w:p>
        </w:tc>
        <w:tc>
          <w:tcPr>
            <w:tcW w:w="1192"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color w:val="FFFFFF"/>
                <w:kern w:val="0"/>
                <w:lang w:val="hr-HR" w:eastAsia="hr-HR"/>
              </w:rPr>
            </w:pPr>
          </w:p>
        </w:tc>
        <w:tc>
          <w:tcPr>
            <w:tcW w:w="1192"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color w:val="FFFFFF"/>
                <w:kern w:val="0"/>
                <w:lang w:val="hr-HR" w:eastAsia="hr-HR"/>
              </w:rPr>
            </w:pPr>
          </w:p>
        </w:tc>
        <w:tc>
          <w:tcPr>
            <w:tcW w:w="1397"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i/>
                <w:iCs/>
                <w:color w:val="FFFFFF"/>
                <w:kern w:val="0"/>
                <w:lang w:val="hr-HR" w:eastAsia="hr-HR"/>
              </w:rPr>
            </w:pP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Temeljni kapital</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8.189</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8.189</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0,0%</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Rezerve iz dobiti</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409</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409</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0,1%</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Revalorizacijske rezerve</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-170,3%</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Zadržana dobit</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598</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626</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-4,5%</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Dobit poslovne godine</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1.483</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1.831</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-19,0%</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Manjinski interes</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w:t>
            </w:r>
          </w:p>
        </w:tc>
      </w:tr>
      <w:tr w:rsidR="003E4626" w:rsidRPr="00CA13BC" w:rsidTr="00CA13BC">
        <w:trPr>
          <w:trHeight w:val="342"/>
        </w:trPr>
        <w:tc>
          <w:tcPr>
            <w:tcW w:w="4979"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Ukupni kapital i rezerve</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10.677</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11.054</w:t>
            </w:r>
          </w:p>
        </w:tc>
        <w:tc>
          <w:tcPr>
            <w:tcW w:w="1397"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-3,4%</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Rezerviranja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311</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293</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6,1%</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Dugorčne obveze</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35</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117</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-70,0%</w:t>
            </w:r>
          </w:p>
        </w:tc>
      </w:tr>
      <w:tr w:rsidR="003E4626" w:rsidRPr="00CA13BC" w:rsidTr="00CA13BC">
        <w:trPr>
          <w:trHeight w:val="342"/>
        </w:trPr>
        <w:tc>
          <w:tcPr>
            <w:tcW w:w="4979"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Ukupne dugoročne obveze</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346</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410</w:t>
            </w:r>
          </w:p>
        </w:tc>
        <w:tc>
          <w:tcPr>
            <w:tcW w:w="1397"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-15,6%</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Kratkoročne obveze</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1.305</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1.871</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-30,3%</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     Odgođeno plaćanje troškova i prihod budućega razdoblja</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205</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250</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-18,1%</w:t>
            </w:r>
          </w:p>
        </w:tc>
      </w:tr>
      <w:tr w:rsidR="003E4626" w:rsidRPr="00CA13BC" w:rsidTr="00CA13BC">
        <w:trPr>
          <w:trHeight w:val="342"/>
        </w:trPr>
        <w:tc>
          <w:tcPr>
            <w:tcW w:w="4979"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Ukupne kratkoročne obveze</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1.509</w:t>
            </w:r>
          </w:p>
        </w:tc>
        <w:tc>
          <w:tcPr>
            <w:tcW w:w="1192"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2.121</w:t>
            </w:r>
          </w:p>
        </w:tc>
        <w:tc>
          <w:tcPr>
            <w:tcW w:w="1397"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-28,8%</w:t>
            </w:r>
          </w:p>
        </w:tc>
      </w:tr>
      <w:tr w:rsidR="003E4626" w:rsidRPr="00CA13BC" w:rsidTr="00CA13BC">
        <w:trPr>
          <w:trHeight w:val="342"/>
        </w:trPr>
        <w:tc>
          <w:tcPr>
            <w:tcW w:w="4979"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Ukupne obveze</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1.855</w:t>
            </w:r>
          </w:p>
        </w:tc>
        <w:tc>
          <w:tcPr>
            <w:tcW w:w="1192"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2.531</w:t>
            </w:r>
          </w:p>
        </w:tc>
        <w:tc>
          <w:tcPr>
            <w:tcW w:w="1397"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-26,7%</w:t>
            </w:r>
          </w:p>
        </w:tc>
      </w:tr>
      <w:tr w:rsidR="003E4626" w:rsidRPr="00CA13BC" w:rsidTr="00CA13BC">
        <w:trPr>
          <w:trHeight w:val="342"/>
        </w:trPr>
        <w:tc>
          <w:tcPr>
            <w:tcW w:w="4979" w:type="dxa"/>
            <w:tcBorders>
              <w:top w:val="nil"/>
              <w:left w:val="nil"/>
              <w:bottom w:val="nil"/>
              <w:right w:val="nil"/>
            </w:tcBorders>
            <w:shd w:val="clear" w:color="auto" w:fill="E20074"/>
            <w:noWrap/>
            <w:vAlign w:val="center"/>
          </w:tcPr>
          <w:p w:rsidR="003E4626" w:rsidRPr="00CA13BC" w:rsidRDefault="003E4626" w:rsidP="00CA13BC">
            <w:pPr>
              <w:suppressAutoHyphens w:val="0"/>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 xml:space="preserve">UKUPNI KAPITAL I OBVEZE </w:t>
            </w:r>
          </w:p>
        </w:tc>
        <w:tc>
          <w:tcPr>
            <w:tcW w:w="1192" w:type="dxa"/>
            <w:tcBorders>
              <w:top w:val="nil"/>
              <w:left w:val="nil"/>
              <w:bottom w:val="nil"/>
              <w:right w:val="nil"/>
            </w:tcBorders>
            <w:shd w:val="clear" w:color="auto" w:fill="E20074"/>
            <w:noWrap/>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12.532</w:t>
            </w:r>
          </w:p>
        </w:tc>
        <w:tc>
          <w:tcPr>
            <w:tcW w:w="1192" w:type="dxa"/>
            <w:tcBorders>
              <w:top w:val="nil"/>
              <w:left w:val="nil"/>
              <w:bottom w:val="nil"/>
              <w:right w:val="nil"/>
            </w:tcBorders>
            <w:shd w:val="clear" w:color="auto" w:fill="E20074"/>
            <w:noWrap/>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13.585</w:t>
            </w:r>
          </w:p>
        </w:tc>
        <w:tc>
          <w:tcPr>
            <w:tcW w:w="1397" w:type="dxa"/>
            <w:tcBorders>
              <w:top w:val="nil"/>
              <w:left w:val="nil"/>
              <w:bottom w:val="nil"/>
              <w:right w:val="nil"/>
            </w:tcBorders>
            <w:shd w:val="clear" w:color="auto" w:fill="E20074"/>
            <w:noWrap/>
            <w:vAlign w:val="center"/>
          </w:tcPr>
          <w:p w:rsidR="003E4626" w:rsidRPr="00CA13BC" w:rsidRDefault="003E4626" w:rsidP="00CA13BC">
            <w:pPr>
              <w:suppressAutoHyphens w:val="0"/>
              <w:jc w:val="right"/>
              <w:rPr>
                <w:rFonts w:ascii="Tele-GroteskEEHal" w:hAnsi="Tele-GroteskEEHal"/>
                <w:b/>
                <w:bCs/>
                <w:i/>
                <w:iCs/>
                <w:color w:val="FFFFFF"/>
                <w:kern w:val="0"/>
                <w:lang w:val="hr-HR" w:eastAsia="hr-HR"/>
              </w:rPr>
            </w:pPr>
            <w:r w:rsidRPr="00CA13BC">
              <w:rPr>
                <w:rFonts w:ascii="Tele-GroteskEEHal" w:hAnsi="Tele-GroteskEEHal"/>
                <w:b/>
                <w:bCs/>
                <w:i/>
                <w:iCs/>
                <w:color w:val="FFFFFF"/>
                <w:kern w:val="0"/>
                <w:sz w:val="22"/>
                <w:szCs w:val="22"/>
                <w:lang w:val="hr-HR" w:eastAsia="hr-HR"/>
              </w:rPr>
              <w:t>-7,7%</w:t>
            </w:r>
          </w:p>
        </w:tc>
      </w:tr>
    </w:tbl>
    <w:p w:rsidR="003E4626" w:rsidRDefault="003E4626" w:rsidP="00F15CC7">
      <w:pPr>
        <w:spacing w:before="240" w:after="240"/>
        <w:jc w:val="both"/>
        <w:outlineLvl w:val="0"/>
        <w:rPr>
          <w:rFonts w:ascii="Tele-GroteskEEHal" w:hAnsi="Tele-GroteskEEHal"/>
          <w:b/>
          <w:bCs/>
          <w:sz w:val="22"/>
          <w:szCs w:val="22"/>
          <w:lang w:val="hr-HR"/>
        </w:rPr>
      </w:pPr>
    </w:p>
    <w:p w:rsidR="003E4626" w:rsidRDefault="003E4626" w:rsidP="00F15CC7">
      <w:pPr>
        <w:spacing w:before="240" w:after="240"/>
        <w:jc w:val="both"/>
        <w:rPr>
          <w:rFonts w:ascii="Tele-GroteskEEHal" w:hAnsi="Tele-GroteskEEHal"/>
          <w:b/>
          <w:bCs/>
          <w:lang w:val="hr-HR"/>
        </w:rPr>
      </w:pPr>
    </w:p>
    <w:p w:rsidR="003E4626" w:rsidRPr="00960D6B" w:rsidRDefault="003E4626" w:rsidP="00F15CC7">
      <w:pPr>
        <w:spacing w:before="240" w:after="240"/>
        <w:jc w:val="both"/>
        <w:rPr>
          <w:rFonts w:ascii="Tele-GroteskEEHal" w:hAnsi="Tele-GroteskEEHal"/>
          <w:b/>
          <w:bCs/>
          <w:lang w:val="hr-HR"/>
        </w:rPr>
      </w:pPr>
    </w:p>
    <w:p w:rsidR="003E4626" w:rsidRDefault="003E4626" w:rsidP="00F15CC7">
      <w:pPr>
        <w:spacing w:before="240" w:after="240"/>
        <w:jc w:val="both"/>
        <w:outlineLvl w:val="0"/>
        <w:rPr>
          <w:rFonts w:ascii="Tele-GroteskEEHal" w:hAnsi="Tele-GroteskEEHal" w:cs="Arial"/>
          <w:b/>
          <w:sz w:val="22"/>
          <w:szCs w:val="22"/>
          <w:lang w:val="hr-HR"/>
        </w:rPr>
      </w:pPr>
      <w:r w:rsidRPr="00960D6B">
        <w:rPr>
          <w:rFonts w:ascii="Tele-GroteskEEHal" w:hAnsi="Tele-GroteskEEHal" w:cs="Arial"/>
          <w:b/>
          <w:sz w:val="22"/>
          <w:szCs w:val="22"/>
          <w:lang w:val="hr-HR"/>
        </w:rPr>
        <w:t>Konsolidirano izvješće o tijeku novca</w:t>
      </w:r>
    </w:p>
    <w:tbl>
      <w:tblPr>
        <w:tblW w:w="9120" w:type="dxa"/>
        <w:tblInd w:w="108" w:type="dxa"/>
        <w:tblLook w:val="0000"/>
      </w:tblPr>
      <w:tblGrid>
        <w:gridCol w:w="6150"/>
        <w:gridCol w:w="913"/>
        <w:gridCol w:w="913"/>
        <w:gridCol w:w="1144"/>
      </w:tblGrid>
      <w:tr w:rsidR="003E4626" w:rsidRPr="00CA13BC" w:rsidTr="00CA13BC">
        <w:trPr>
          <w:trHeight w:val="990"/>
        </w:trPr>
        <w:tc>
          <w:tcPr>
            <w:tcW w:w="6150" w:type="dxa"/>
            <w:tcBorders>
              <w:top w:val="nil"/>
              <w:left w:val="nil"/>
              <w:bottom w:val="nil"/>
              <w:right w:val="nil"/>
            </w:tcBorders>
            <w:shd w:val="clear" w:color="auto" w:fill="E20074"/>
            <w:vAlign w:val="center"/>
          </w:tcPr>
          <w:p w:rsidR="003E4626" w:rsidRPr="00CA13BC" w:rsidRDefault="003E4626" w:rsidP="00CA13BC">
            <w:pPr>
              <w:suppressAutoHyphens w:val="0"/>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u milijunima kuna (MSFI; HT rač. politike)</w:t>
            </w:r>
          </w:p>
        </w:tc>
        <w:tc>
          <w:tcPr>
            <w:tcW w:w="913" w:type="dxa"/>
            <w:tcBorders>
              <w:top w:val="nil"/>
              <w:left w:val="nil"/>
              <w:bottom w:val="nil"/>
              <w:right w:val="nil"/>
            </w:tcBorders>
            <w:shd w:val="clear" w:color="auto" w:fill="E20074"/>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 xml:space="preserve">Sij.-Ruj. </w:t>
            </w:r>
            <w:r w:rsidRPr="00CA13BC">
              <w:rPr>
                <w:rFonts w:ascii="Tele-GroteskEEHal" w:hAnsi="Tele-GroteskEEHal"/>
                <w:b/>
                <w:bCs/>
                <w:color w:val="FFFFFF"/>
                <w:kern w:val="0"/>
                <w:sz w:val="22"/>
                <w:szCs w:val="22"/>
                <w:lang w:val="hr-HR" w:eastAsia="hr-HR"/>
              </w:rPr>
              <w:br/>
              <w:t>2011.</w:t>
            </w:r>
          </w:p>
        </w:tc>
        <w:tc>
          <w:tcPr>
            <w:tcW w:w="913" w:type="dxa"/>
            <w:tcBorders>
              <w:top w:val="nil"/>
              <w:left w:val="nil"/>
              <w:bottom w:val="nil"/>
              <w:right w:val="nil"/>
            </w:tcBorders>
            <w:shd w:val="clear" w:color="auto" w:fill="E20074"/>
            <w:vAlign w:val="center"/>
          </w:tcPr>
          <w:p w:rsidR="003E4626" w:rsidRPr="00CA13BC" w:rsidRDefault="003E4626" w:rsidP="00CA13BC">
            <w:pPr>
              <w:suppressAutoHyphens w:val="0"/>
              <w:jc w:val="right"/>
              <w:rPr>
                <w:rFonts w:ascii="Tele-GroteskEEHal" w:hAnsi="Tele-GroteskEEHal"/>
                <w:b/>
                <w:bCs/>
                <w:color w:val="FFFFFF"/>
                <w:kern w:val="0"/>
                <w:lang w:val="hr-HR" w:eastAsia="hr-HR"/>
              </w:rPr>
            </w:pPr>
            <w:r w:rsidRPr="00CA13BC">
              <w:rPr>
                <w:rFonts w:ascii="Tele-GroteskEEHal" w:hAnsi="Tele-GroteskEEHal"/>
                <w:b/>
                <w:bCs/>
                <w:color w:val="FFFFFF"/>
                <w:kern w:val="0"/>
                <w:sz w:val="22"/>
                <w:szCs w:val="22"/>
                <w:lang w:val="hr-HR" w:eastAsia="hr-HR"/>
              </w:rPr>
              <w:t xml:space="preserve">Sij.-Ruj. </w:t>
            </w:r>
            <w:r w:rsidRPr="00CA13BC">
              <w:rPr>
                <w:rFonts w:ascii="Tele-GroteskEEHal" w:hAnsi="Tele-GroteskEEHal"/>
                <w:b/>
                <w:bCs/>
                <w:color w:val="FFFFFF"/>
                <w:kern w:val="0"/>
                <w:sz w:val="22"/>
                <w:szCs w:val="22"/>
                <w:lang w:val="hr-HR" w:eastAsia="hr-HR"/>
              </w:rPr>
              <w:br/>
              <w:t>2010.</w:t>
            </w:r>
          </w:p>
        </w:tc>
        <w:tc>
          <w:tcPr>
            <w:tcW w:w="1144" w:type="dxa"/>
            <w:tcBorders>
              <w:top w:val="nil"/>
              <w:left w:val="nil"/>
              <w:bottom w:val="nil"/>
              <w:right w:val="nil"/>
            </w:tcBorders>
            <w:shd w:val="clear" w:color="auto" w:fill="E20074"/>
            <w:vAlign w:val="center"/>
          </w:tcPr>
          <w:p w:rsidR="003E4626" w:rsidRPr="00CA13BC" w:rsidRDefault="003E4626" w:rsidP="00CA13BC">
            <w:pPr>
              <w:suppressAutoHyphens w:val="0"/>
              <w:jc w:val="right"/>
              <w:rPr>
                <w:rFonts w:ascii="Tele-GroteskEEHal" w:hAnsi="Tele-GroteskEEHal"/>
                <w:b/>
                <w:bCs/>
                <w:i/>
                <w:iCs/>
                <w:color w:val="FFFFFF"/>
                <w:kern w:val="0"/>
                <w:lang w:val="hr-HR" w:eastAsia="hr-HR"/>
              </w:rPr>
            </w:pPr>
            <w:r w:rsidRPr="00CA13BC">
              <w:rPr>
                <w:rFonts w:ascii="Tele-GroteskEEHal" w:hAnsi="Tele-GroteskEEHal"/>
                <w:b/>
                <w:bCs/>
                <w:i/>
                <w:iCs/>
                <w:color w:val="FFFFFF"/>
                <w:kern w:val="0"/>
                <w:sz w:val="22"/>
                <w:szCs w:val="22"/>
                <w:lang w:val="hr-HR" w:eastAsia="hr-HR"/>
              </w:rPr>
              <w:t xml:space="preserve">% promjene </w:t>
            </w:r>
            <w:r w:rsidRPr="00CA13BC">
              <w:rPr>
                <w:rFonts w:ascii="Tele-GroteskEEHal" w:hAnsi="Tele-GroteskEEHal"/>
                <w:b/>
                <w:bCs/>
                <w:i/>
                <w:iCs/>
                <w:color w:val="FFFFFF"/>
                <w:kern w:val="0"/>
                <w:sz w:val="22"/>
                <w:szCs w:val="22"/>
                <w:lang w:val="hr-HR" w:eastAsia="hr-HR"/>
              </w:rPr>
              <w:br/>
              <w:t>11/10</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Dobit prije poreza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1.842</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1.855</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-0,7%</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Amortizacija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1.005</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988</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1,7%</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Smanjenje kratkotrajnih potraživanja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Smanjenje zaliha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28</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Ostalo povećanje novčanog tijeka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 xml:space="preserve">Ukupno povećanje novčanog tijeka od poslovnih aktivnosti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2.924</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2.843</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2,8%</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Smanjenje kratkoročnih obveza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-503</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-147</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-242,6%</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Povećanje kratkotrajnih potraživanja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-148</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100,0%</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Povećanje zaliha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-6</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100,0%</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Ostalo smanjenje novčanog tijeka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-527</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-320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-64,8%</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 xml:space="preserve">Ukupno smanjenje novčanog tijeka od poslovnih aktivnosti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-1.030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-620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-66,2%</w:t>
            </w:r>
          </w:p>
        </w:tc>
      </w:tr>
      <w:tr w:rsidR="003E4626" w:rsidRPr="00CA13BC" w:rsidTr="00CA13BC">
        <w:trPr>
          <w:trHeight w:val="300"/>
        </w:trPr>
        <w:tc>
          <w:tcPr>
            <w:tcW w:w="6150"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Neto novčani tijek od poslovnih aktivnosti</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1.894</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2.223</w:t>
            </w:r>
          </w:p>
        </w:tc>
        <w:tc>
          <w:tcPr>
            <w:tcW w:w="1144"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-14,8%</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primici od prodaje dugotrajne materijalne i nematerijalne imovine</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11</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94,7%</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primici od prodaje vlasničkih i dužničkih instrumenata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74</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437</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-83,1%</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primici od prodaje tekuće financijske imovine</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primici od kamata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44</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38</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15,9%</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Ostali novčani primici od investicijskih aktivnosti</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518</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150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246,2%</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 xml:space="preserve">Ukupno novčani primici od investicijskih aktivnosti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647</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630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2,7%</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izdaci za kupnju dugotrajne materijalne i nematerijalne imovine</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-634</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-617</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-2,6%</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izdaci za stjecanje vlasničkih i dužničkih financijskih instrumenata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-290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100,0%</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Ostali novčani izdaci od investicijskih aktivnosti</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-840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-399</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-110,2%</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 xml:space="preserve">Ukupno novčani izdaci od investicijskih aktivnosti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-1.473</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-1.307</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-12,7%</w:t>
            </w:r>
          </w:p>
        </w:tc>
      </w:tr>
      <w:tr w:rsidR="003E4626" w:rsidRPr="00CA13BC" w:rsidTr="00CA13BC">
        <w:trPr>
          <w:trHeight w:val="300"/>
        </w:trPr>
        <w:tc>
          <w:tcPr>
            <w:tcW w:w="6150"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Neto novčani tijek od investicijskih aktivnosti</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-826</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-678</w:t>
            </w:r>
          </w:p>
        </w:tc>
        <w:tc>
          <w:tcPr>
            <w:tcW w:w="1144"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-22,0%</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 xml:space="preserve">Ukupno novčani primici od financijskih aktivnosti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0</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izdaci za otplatu glavnice kredita i obveznica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-9</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-394,8%</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izdaci za isplatu dividendi</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-1.863</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-2.788</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33,2%</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Novčani izdaci za otplatu financijskog najma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0</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100,0%</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 xml:space="preserve">Ukupno novčani izdaci od financijskih aktivnosti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-1.872</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-2.791</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32,9%</w:t>
            </w:r>
          </w:p>
        </w:tc>
      </w:tr>
      <w:tr w:rsidR="003E4626" w:rsidRPr="00CA13BC" w:rsidTr="00CA13BC">
        <w:trPr>
          <w:trHeight w:val="300"/>
        </w:trPr>
        <w:tc>
          <w:tcPr>
            <w:tcW w:w="6150"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Neto novčani tijek od financijskih aktivnosti</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-1.872</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-2.791</w:t>
            </w:r>
          </w:p>
        </w:tc>
        <w:tc>
          <w:tcPr>
            <w:tcW w:w="1144"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32,9%</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Ukupno povećanje novčanog tijeka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1.894</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2.223</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-14,8%</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 xml:space="preserve">Ukupno smanjenje novčanog tijeka </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-2.698</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-3.468</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22,2%</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Novac i novčani ekvivalenti na početku razdoblja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3.282</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4.195</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-21,8%</w:t>
            </w:r>
          </w:p>
        </w:tc>
      </w:tr>
      <w:tr w:rsidR="003E4626" w:rsidRPr="00CA13BC" w:rsidTr="00CA13BC">
        <w:trPr>
          <w:trHeight w:val="300"/>
        </w:trPr>
        <w:tc>
          <w:tcPr>
            <w:tcW w:w="6150" w:type="dxa"/>
            <w:tcBorders>
              <w:top w:val="nil"/>
              <w:left w:val="nil"/>
              <w:bottom w:val="nil"/>
              <w:right w:val="nil"/>
            </w:tcBorders>
            <w:noWrap/>
            <w:vAlign w:val="center"/>
          </w:tcPr>
          <w:p w:rsidR="003E4626" w:rsidRPr="00CA13BC" w:rsidRDefault="003E4626" w:rsidP="00CA13BC">
            <w:pPr>
              <w:suppressAutoHyphens w:val="0"/>
              <w:rPr>
                <w:rFonts w:ascii="Tele-GroteskEEHal" w:hAnsi="Tele-GroteskEEHal"/>
                <w:kern w:val="0"/>
                <w:lang w:val="hr-HR" w:eastAsia="hr-HR"/>
              </w:rPr>
            </w:pPr>
            <w:r w:rsidRPr="00CA13BC">
              <w:rPr>
                <w:rFonts w:ascii="Tele-GroteskEEHal" w:hAnsi="Tele-GroteskEEHal"/>
                <w:kern w:val="0"/>
                <w:sz w:val="22"/>
                <w:szCs w:val="22"/>
                <w:lang w:val="hr-HR" w:eastAsia="hr-HR"/>
              </w:rPr>
              <w:t>Neto (odljev) / priljev novca i novčanih ekvivalenata</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-804</w:t>
            </w:r>
          </w:p>
        </w:tc>
        <w:tc>
          <w:tcPr>
            <w:tcW w:w="913"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kern w:val="0"/>
                <w:lang w:val="hr-HR" w:eastAsia="hr-HR"/>
              </w:rPr>
            </w:pPr>
            <w:r w:rsidRPr="00CA13BC">
              <w:rPr>
                <w:rFonts w:ascii="Tele-GroteskEEHal" w:hAnsi="Tele-GroteskEEHal"/>
                <w:kern w:val="0"/>
                <w:sz w:val="22"/>
                <w:szCs w:val="22"/>
                <w:lang w:val="hr-HR" w:eastAsia="hr-HR"/>
              </w:rPr>
              <w:t>-1.246</w:t>
            </w:r>
          </w:p>
        </w:tc>
        <w:tc>
          <w:tcPr>
            <w:tcW w:w="1144" w:type="dxa"/>
            <w:tcBorders>
              <w:top w:val="nil"/>
              <w:left w:val="nil"/>
              <w:bottom w:val="nil"/>
              <w:right w:val="nil"/>
            </w:tcBorders>
            <w:noWrap/>
            <w:vAlign w:val="center"/>
          </w:tcPr>
          <w:p w:rsidR="003E4626" w:rsidRPr="00CA13BC" w:rsidRDefault="003E4626" w:rsidP="00CA13BC">
            <w:pPr>
              <w:suppressAutoHyphens w:val="0"/>
              <w:jc w:val="right"/>
              <w:rPr>
                <w:rFonts w:ascii="Tele-GroteskEEHal" w:hAnsi="Tele-GroteskEEHal"/>
                <w:i/>
                <w:iCs/>
                <w:kern w:val="0"/>
                <w:lang w:val="hr-HR" w:eastAsia="hr-HR"/>
              </w:rPr>
            </w:pPr>
            <w:r w:rsidRPr="00CA13BC">
              <w:rPr>
                <w:rFonts w:ascii="Tele-GroteskEEHal" w:hAnsi="Tele-GroteskEEHal"/>
                <w:i/>
                <w:iCs/>
                <w:kern w:val="0"/>
                <w:sz w:val="22"/>
                <w:szCs w:val="22"/>
                <w:lang w:val="hr-HR" w:eastAsia="hr-HR"/>
              </w:rPr>
              <w:t>35,4%</w:t>
            </w:r>
          </w:p>
        </w:tc>
      </w:tr>
      <w:tr w:rsidR="003E4626" w:rsidRPr="00CA13BC" w:rsidTr="00CA13BC">
        <w:trPr>
          <w:trHeight w:val="300"/>
        </w:trPr>
        <w:tc>
          <w:tcPr>
            <w:tcW w:w="6150" w:type="dxa"/>
            <w:tcBorders>
              <w:top w:val="nil"/>
              <w:left w:val="nil"/>
              <w:bottom w:val="nil"/>
              <w:right w:val="nil"/>
            </w:tcBorders>
            <w:shd w:val="clear" w:color="auto" w:fill="EAEAEA"/>
            <w:noWrap/>
            <w:vAlign w:val="center"/>
          </w:tcPr>
          <w:p w:rsidR="003E4626" w:rsidRPr="00CA13BC" w:rsidRDefault="003E4626" w:rsidP="00CA13BC">
            <w:pPr>
              <w:suppressAutoHyphens w:val="0"/>
              <w:rPr>
                <w:rFonts w:ascii="Tele-GroteskEEHal" w:hAnsi="Tele-GroteskEEHal"/>
                <w:b/>
                <w:bCs/>
                <w:kern w:val="0"/>
                <w:lang w:val="hr-HR" w:eastAsia="hr-HR"/>
              </w:rPr>
            </w:pPr>
            <w:r w:rsidRPr="00CA13BC">
              <w:rPr>
                <w:rFonts w:ascii="Tele-GroteskEEHal" w:hAnsi="Tele-GroteskEEHal"/>
                <w:b/>
                <w:bCs/>
                <w:kern w:val="0"/>
                <w:sz w:val="22"/>
                <w:szCs w:val="22"/>
                <w:lang w:val="hr-HR" w:eastAsia="hr-HR"/>
              </w:rPr>
              <w:t>Novac i novčani ekvivalenti na kraju razdoblja</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2.478</w:t>
            </w:r>
          </w:p>
        </w:tc>
        <w:tc>
          <w:tcPr>
            <w:tcW w:w="913"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kern w:val="0"/>
                <w:lang w:val="hr-HR" w:eastAsia="hr-HR"/>
              </w:rPr>
            </w:pPr>
            <w:r w:rsidRPr="00CA13BC">
              <w:rPr>
                <w:rFonts w:ascii="Tele-GroteskEEHal" w:hAnsi="Tele-GroteskEEHal"/>
                <w:b/>
                <w:bCs/>
                <w:kern w:val="0"/>
                <w:sz w:val="22"/>
                <w:szCs w:val="22"/>
                <w:lang w:val="hr-HR" w:eastAsia="hr-HR"/>
              </w:rPr>
              <w:t>2.949</w:t>
            </w:r>
          </w:p>
        </w:tc>
        <w:tc>
          <w:tcPr>
            <w:tcW w:w="1144" w:type="dxa"/>
            <w:tcBorders>
              <w:top w:val="nil"/>
              <w:left w:val="nil"/>
              <w:bottom w:val="nil"/>
              <w:right w:val="nil"/>
            </w:tcBorders>
            <w:shd w:val="clear" w:color="auto" w:fill="EAEAEA"/>
            <w:noWrap/>
            <w:vAlign w:val="center"/>
          </w:tcPr>
          <w:p w:rsidR="003E4626" w:rsidRPr="00CA13BC" w:rsidRDefault="003E4626" w:rsidP="00CA13BC">
            <w:pPr>
              <w:suppressAutoHyphens w:val="0"/>
              <w:jc w:val="right"/>
              <w:rPr>
                <w:rFonts w:ascii="Tele-GroteskEEHal" w:hAnsi="Tele-GroteskEEHal"/>
                <w:b/>
                <w:bCs/>
                <w:i/>
                <w:iCs/>
                <w:kern w:val="0"/>
                <w:lang w:val="hr-HR" w:eastAsia="hr-HR"/>
              </w:rPr>
            </w:pPr>
            <w:r w:rsidRPr="00CA13BC">
              <w:rPr>
                <w:rFonts w:ascii="Tele-GroteskEEHal" w:hAnsi="Tele-GroteskEEHal"/>
                <w:b/>
                <w:bCs/>
                <w:i/>
                <w:iCs/>
                <w:kern w:val="0"/>
                <w:sz w:val="22"/>
                <w:szCs w:val="22"/>
                <w:lang w:val="hr-HR" w:eastAsia="hr-HR"/>
              </w:rPr>
              <w:t>-16,0%</w:t>
            </w:r>
          </w:p>
        </w:tc>
      </w:tr>
    </w:tbl>
    <w:p w:rsidR="003E4626" w:rsidRDefault="003E4626" w:rsidP="00F15CC7">
      <w:pPr>
        <w:spacing w:before="240" w:after="240"/>
        <w:jc w:val="both"/>
        <w:outlineLvl w:val="0"/>
        <w:rPr>
          <w:rFonts w:ascii="Tele-GroteskEEHal" w:hAnsi="Tele-GroteskEEHal" w:cs="Arial"/>
          <w:b/>
          <w:sz w:val="22"/>
          <w:szCs w:val="22"/>
          <w:lang w:val="hr-HR"/>
        </w:rPr>
      </w:pPr>
    </w:p>
    <w:p w:rsidR="003E4626" w:rsidRPr="00960D6B" w:rsidRDefault="003E4626" w:rsidP="00F15CC7">
      <w:pPr>
        <w:spacing w:before="240" w:after="240"/>
        <w:jc w:val="both"/>
        <w:outlineLvl w:val="0"/>
        <w:rPr>
          <w:rFonts w:ascii="Tele-GroteskEEHal" w:hAnsi="Tele-GroteskEEHal"/>
          <w:b/>
          <w:bCs/>
          <w:sz w:val="22"/>
          <w:szCs w:val="22"/>
          <w:lang w:val="hr-HR"/>
        </w:rPr>
      </w:pPr>
    </w:p>
    <w:p w:rsidR="003E4626" w:rsidRDefault="003E4626" w:rsidP="00F15CC7">
      <w:pPr>
        <w:spacing w:before="240" w:after="240"/>
        <w:jc w:val="both"/>
        <w:outlineLvl w:val="0"/>
        <w:rPr>
          <w:rFonts w:ascii="Tele-GroteskEEHal" w:hAnsi="Tele-GroteskEEHal"/>
          <w:b/>
          <w:bCs/>
          <w:sz w:val="22"/>
          <w:szCs w:val="22"/>
          <w:lang w:val="hr-HR"/>
        </w:rPr>
      </w:pPr>
      <w:r w:rsidRPr="00960D6B">
        <w:rPr>
          <w:rFonts w:ascii="Tele-GroteskEEHal" w:hAnsi="Tele-GroteskEEHal"/>
          <w:b/>
          <w:bCs/>
          <w:sz w:val="22"/>
          <w:szCs w:val="22"/>
          <w:lang w:val="hr-HR"/>
        </w:rPr>
        <w:t>Konsolidirano usklađenje EBITDA-e</w:t>
      </w:r>
    </w:p>
    <w:tbl>
      <w:tblPr>
        <w:tblW w:w="8680" w:type="dxa"/>
        <w:tblInd w:w="108" w:type="dxa"/>
        <w:tblLook w:val="0000"/>
      </w:tblPr>
      <w:tblGrid>
        <w:gridCol w:w="4336"/>
        <w:gridCol w:w="1354"/>
        <w:gridCol w:w="1375"/>
        <w:gridCol w:w="1615"/>
      </w:tblGrid>
      <w:tr w:rsidR="003E4626" w:rsidRPr="006D74BD" w:rsidTr="006D74BD">
        <w:trPr>
          <w:trHeight w:val="799"/>
        </w:trPr>
        <w:tc>
          <w:tcPr>
            <w:tcW w:w="4336" w:type="dxa"/>
            <w:tcBorders>
              <w:top w:val="single" w:sz="4" w:space="0" w:color="auto"/>
              <w:left w:val="nil"/>
              <w:bottom w:val="single" w:sz="4" w:space="0" w:color="auto"/>
              <w:right w:val="nil"/>
            </w:tcBorders>
            <w:shd w:val="clear" w:color="auto" w:fill="E20074"/>
            <w:noWrap/>
            <w:vAlign w:val="center"/>
          </w:tcPr>
          <w:p w:rsidR="003E4626" w:rsidRPr="006D74BD" w:rsidRDefault="003E4626" w:rsidP="006D74BD">
            <w:pPr>
              <w:suppressAutoHyphens w:val="0"/>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u milijunima kuna</w:t>
            </w:r>
          </w:p>
        </w:tc>
        <w:tc>
          <w:tcPr>
            <w:tcW w:w="1354" w:type="dxa"/>
            <w:tcBorders>
              <w:top w:val="single" w:sz="4" w:space="0" w:color="auto"/>
              <w:left w:val="nil"/>
              <w:bottom w:val="single" w:sz="4" w:space="0" w:color="auto"/>
              <w:right w:val="nil"/>
            </w:tcBorders>
            <w:shd w:val="clear" w:color="auto" w:fill="E20074"/>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 xml:space="preserve">Sij.-Ruj. </w:t>
            </w:r>
            <w:r w:rsidRPr="006D74BD">
              <w:rPr>
                <w:rFonts w:ascii="Tele-GroteskEEHal" w:hAnsi="Tele-GroteskEEHal"/>
                <w:b/>
                <w:bCs/>
                <w:color w:val="FFFFFF"/>
                <w:kern w:val="0"/>
                <w:sz w:val="22"/>
                <w:szCs w:val="22"/>
                <w:lang w:val="hr-HR" w:eastAsia="hr-HR"/>
              </w:rPr>
              <w:br/>
              <w:t>2011.</w:t>
            </w:r>
          </w:p>
        </w:tc>
        <w:tc>
          <w:tcPr>
            <w:tcW w:w="1375" w:type="dxa"/>
            <w:tcBorders>
              <w:top w:val="single" w:sz="4" w:space="0" w:color="auto"/>
              <w:left w:val="nil"/>
              <w:bottom w:val="single" w:sz="4" w:space="0" w:color="auto"/>
              <w:right w:val="nil"/>
            </w:tcBorders>
            <w:shd w:val="clear" w:color="auto" w:fill="E20074"/>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 xml:space="preserve">Sij.-Ruj. </w:t>
            </w:r>
            <w:r w:rsidRPr="006D74BD">
              <w:rPr>
                <w:rFonts w:ascii="Tele-GroteskEEHal" w:hAnsi="Tele-GroteskEEHal"/>
                <w:b/>
                <w:bCs/>
                <w:color w:val="FFFFFF"/>
                <w:kern w:val="0"/>
                <w:sz w:val="22"/>
                <w:szCs w:val="22"/>
                <w:lang w:val="hr-HR" w:eastAsia="hr-HR"/>
              </w:rPr>
              <w:br/>
              <w:t>2010.</w:t>
            </w:r>
          </w:p>
        </w:tc>
        <w:tc>
          <w:tcPr>
            <w:tcW w:w="1615" w:type="dxa"/>
            <w:tcBorders>
              <w:top w:val="single" w:sz="4" w:space="0" w:color="auto"/>
              <w:left w:val="nil"/>
              <w:bottom w:val="single" w:sz="4" w:space="0" w:color="auto"/>
              <w:right w:val="nil"/>
            </w:tcBorders>
            <w:shd w:val="clear" w:color="auto" w:fill="E20074"/>
            <w:vAlign w:val="center"/>
          </w:tcPr>
          <w:p w:rsidR="003E4626" w:rsidRPr="006D74BD" w:rsidRDefault="003E4626" w:rsidP="006D74BD">
            <w:pPr>
              <w:suppressAutoHyphens w:val="0"/>
              <w:jc w:val="right"/>
              <w:rPr>
                <w:rFonts w:ascii="Tele-GroteskEEHal" w:hAnsi="Tele-GroteskEEHal"/>
                <w:b/>
                <w:bCs/>
                <w:i/>
                <w:iCs/>
                <w:color w:val="FFFFFF"/>
                <w:kern w:val="0"/>
                <w:lang w:val="hr-HR" w:eastAsia="hr-HR"/>
              </w:rPr>
            </w:pPr>
            <w:r w:rsidRPr="006D74BD">
              <w:rPr>
                <w:rFonts w:ascii="Tele-GroteskEEHal" w:hAnsi="Tele-GroteskEEHal"/>
                <w:b/>
                <w:bCs/>
                <w:i/>
                <w:iCs/>
                <w:color w:val="FFFFFF"/>
                <w:kern w:val="0"/>
                <w:sz w:val="22"/>
                <w:szCs w:val="22"/>
                <w:lang w:val="hr-HR" w:eastAsia="hr-HR"/>
              </w:rPr>
              <w:t xml:space="preserve">% promjene </w:t>
            </w:r>
            <w:r w:rsidRPr="006D74BD">
              <w:rPr>
                <w:rFonts w:ascii="Tele-GroteskEEHal" w:hAnsi="Tele-GroteskEEHal"/>
                <w:b/>
                <w:bCs/>
                <w:i/>
                <w:iCs/>
                <w:color w:val="FFFFFF"/>
                <w:kern w:val="0"/>
                <w:sz w:val="22"/>
                <w:szCs w:val="22"/>
                <w:lang w:val="hr-HR" w:eastAsia="hr-HR"/>
              </w:rPr>
              <w:br/>
              <w:t>11/10</w:t>
            </w:r>
          </w:p>
        </w:tc>
      </w:tr>
      <w:tr w:rsidR="003E4626" w:rsidRPr="006D74BD" w:rsidTr="006D74BD">
        <w:trPr>
          <w:trHeight w:val="330"/>
        </w:trPr>
        <w:tc>
          <w:tcPr>
            <w:tcW w:w="4336" w:type="dxa"/>
            <w:tcBorders>
              <w:top w:val="nil"/>
              <w:left w:val="nil"/>
              <w:bottom w:val="single" w:sz="4" w:space="0" w:color="auto"/>
              <w:right w:val="nil"/>
            </w:tcBorders>
            <w:shd w:val="clear" w:color="auto" w:fill="EAEAEA"/>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Rezultat po segmentima (EBITDA Doprinos)</w:t>
            </w:r>
          </w:p>
        </w:tc>
        <w:tc>
          <w:tcPr>
            <w:tcW w:w="1354" w:type="dxa"/>
            <w:tcBorders>
              <w:top w:val="nil"/>
              <w:left w:val="nil"/>
              <w:bottom w:val="single" w:sz="4" w:space="0" w:color="auto"/>
              <w:right w:val="nil"/>
            </w:tcBorders>
            <w:shd w:val="clear" w:color="auto" w:fill="EAEAEA"/>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 </w:t>
            </w:r>
          </w:p>
        </w:tc>
        <w:tc>
          <w:tcPr>
            <w:tcW w:w="1375" w:type="dxa"/>
            <w:tcBorders>
              <w:top w:val="nil"/>
              <w:left w:val="nil"/>
              <w:bottom w:val="single" w:sz="4" w:space="0" w:color="auto"/>
              <w:right w:val="nil"/>
            </w:tcBorders>
            <w:shd w:val="clear" w:color="auto" w:fill="EAEAEA"/>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 </w:t>
            </w:r>
          </w:p>
        </w:tc>
        <w:tc>
          <w:tcPr>
            <w:tcW w:w="1615" w:type="dxa"/>
            <w:tcBorders>
              <w:top w:val="nil"/>
              <w:left w:val="nil"/>
              <w:bottom w:val="single" w:sz="4" w:space="0" w:color="auto"/>
              <w:right w:val="nil"/>
            </w:tcBorders>
            <w:shd w:val="clear" w:color="auto" w:fill="EAEAEA"/>
            <w:noWrap/>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 </w:t>
            </w:r>
          </w:p>
        </w:tc>
      </w:tr>
      <w:tr w:rsidR="003E4626" w:rsidRPr="006D74BD" w:rsidTr="006D74BD">
        <w:trPr>
          <w:trHeight w:val="342"/>
        </w:trPr>
        <w:tc>
          <w:tcPr>
            <w:tcW w:w="43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Segment Privatnih korisnika</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2.248</w:t>
            </w:r>
          </w:p>
        </w:tc>
        <w:tc>
          <w:tcPr>
            <w:tcW w:w="137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2.294</w:t>
            </w:r>
          </w:p>
        </w:tc>
        <w:tc>
          <w:tcPr>
            <w:tcW w:w="161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-2,0%</w:t>
            </w:r>
          </w:p>
        </w:tc>
      </w:tr>
      <w:tr w:rsidR="003E4626" w:rsidRPr="006D74BD" w:rsidTr="006D74BD">
        <w:trPr>
          <w:trHeight w:val="342"/>
        </w:trPr>
        <w:tc>
          <w:tcPr>
            <w:tcW w:w="43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Segment Poslovnih korisnika</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1.731</w:t>
            </w:r>
          </w:p>
        </w:tc>
        <w:tc>
          <w:tcPr>
            <w:tcW w:w="137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1.919</w:t>
            </w:r>
          </w:p>
        </w:tc>
        <w:tc>
          <w:tcPr>
            <w:tcW w:w="161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-9,8%</w:t>
            </w:r>
          </w:p>
        </w:tc>
      </w:tr>
      <w:tr w:rsidR="003E4626" w:rsidRPr="006D74BD" w:rsidTr="006D74BD">
        <w:trPr>
          <w:trHeight w:val="342"/>
        </w:trPr>
        <w:tc>
          <w:tcPr>
            <w:tcW w:w="43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Mreža i funkcije podrške</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-1.180</w:t>
            </w:r>
          </w:p>
        </w:tc>
        <w:tc>
          <w:tcPr>
            <w:tcW w:w="137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-1.355</w:t>
            </w:r>
          </w:p>
        </w:tc>
        <w:tc>
          <w:tcPr>
            <w:tcW w:w="161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-12,9%</w:t>
            </w:r>
          </w:p>
        </w:tc>
      </w:tr>
      <w:tr w:rsidR="003E4626" w:rsidRPr="006D74BD" w:rsidTr="006D74BD">
        <w:trPr>
          <w:trHeight w:val="660"/>
        </w:trPr>
        <w:tc>
          <w:tcPr>
            <w:tcW w:w="4336" w:type="dxa"/>
            <w:tcBorders>
              <w:top w:val="single" w:sz="4" w:space="0" w:color="auto"/>
              <w:left w:val="nil"/>
              <w:bottom w:val="single" w:sz="4" w:space="0" w:color="auto"/>
              <w:right w:val="nil"/>
            </w:tcBorders>
            <w:shd w:val="clear" w:color="auto" w:fill="EAEAEA"/>
            <w:vAlign w:val="center"/>
          </w:tcPr>
          <w:p w:rsidR="003E4626" w:rsidRPr="006D74BD" w:rsidRDefault="003E4626" w:rsidP="006D74BD">
            <w:pPr>
              <w:suppressAutoHyphens w:val="0"/>
              <w:rPr>
                <w:rFonts w:ascii="Tele-GroteskEEHal" w:hAnsi="Tele-GroteskEEHal"/>
                <w:b/>
                <w:bCs/>
                <w:kern w:val="0"/>
                <w:lang w:val="hr-HR" w:eastAsia="hr-HR"/>
              </w:rPr>
            </w:pPr>
            <w:r w:rsidRPr="006D74BD">
              <w:rPr>
                <w:rFonts w:ascii="Tele-GroteskEEHal" w:hAnsi="Tele-GroteskEEHal"/>
                <w:b/>
                <w:bCs/>
                <w:kern w:val="0"/>
                <w:sz w:val="22"/>
                <w:szCs w:val="22"/>
                <w:lang w:val="hr-HR" w:eastAsia="hr-HR"/>
              </w:rPr>
              <w:t>Ukupan EBITDA Doprinos Segmenata prije jednokratnih stavki</w:t>
            </w:r>
          </w:p>
        </w:tc>
        <w:tc>
          <w:tcPr>
            <w:tcW w:w="1354" w:type="dxa"/>
            <w:tcBorders>
              <w:top w:val="single" w:sz="4" w:space="0" w:color="auto"/>
              <w:left w:val="nil"/>
              <w:bottom w:val="single" w:sz="4" w:space="0" w:color="auto"/>
              <w:right w:val="nil"/>
            </w:tcBorders>
            <w:shd w:val="clear" w:color="auto" w:fill="EAEAEA"/>
            <w:noWrap/>
            <w:vAlign w:val="center"/>
          </w:tcPr>
          <w:p w:rsidR="003E4626" w:rsidRPr="006D74BD" w:rsidRDefault="003E4626" w:rsidP="006D74BD">
            <w:pPr>
              <w:suppressAutoHyphens w:val="0"/>
              <w:jc w:val="right"/>
              <w:rPr>
                <w:rFonts w:ascii="Tele-GroteskEEHal" w:hAnsi="Tele-GroteskEEHal"/>
                <w:b/>
                <w:bCs/>
                <w:kern w:val="0"/>
                <w:lang w:val="hr-HR" w:eastAsia="hr-HR"/>
              </w:rPr>
            </w:pPr>
            <w:r w:rsidRPr="006D74BD">
              <w:rPr>
                <w:rFonts w:ascii="Tele-GroteskEEHal" w:hAnsi="Tele-GroteskEEHal"/>
                <w:b/>
                <w:bCs/>
                <w:kern w:val="0"/>
                <w:sz w:val="22"/>
                <w:szCs w:val="22"/>
                <w:lang w:val="hr-HR" w:eastAsia="hr-HR"/>
              </w:rPr>
              <w:t>2.799</w:t>
            </w:r>
          </w:p>
        </w:tc>
        <w:tc>
          <w:tcPr>
            <w:tcW w:w="1375" w:type="dxa"/>
            <w:tcBorders>
              <w:top w:val="single" w:sz="4" w:space="0" w:color="auto"/>
              <w:left w:val="nil"/>
              <w:bottom w:val="single" w:sz="4" w:space="0" w:color="auto"/>
              <w:right w:val="nil"/>
            </w:tcBorders>
            <w:shd w:val="clear" w:color="auto" w:fill="EAEAEA"/>
            <w:noWrap/>
            <w:vAlign w:val="center"/>
          </w:tcPr>
          <w:p w:rsidR="003E4626" w:rsidRPr="006D74BD" w:rsidRDefault="003E4626" w:rsidP="006D74BD">
            <w:pPr>
              <w:suppressAutoHyphens w:val="0"/>
              <w:jc w:val="right"/>
              <w:rPr>
                <w:rFonts w:ascii="Tele-GroteskEEHal" w:hAnsi="Tele-GroteskEEHal"/>
                <w:b/>
                <w:bCs/>
                <w:kern w:val="0"/>
                <w:lang w:val="hr-HR" w:eastAsia="hr-HR"/>
              </w:rPr>
            </w:pPr>
            <w:r w:rsidRPr="006D74BD">
              <w:rPr>
                <w:rFonts w:ascii="Tele-GroteskEEHal" w:hAnsi="Tele-GroteskEEHal"/>
                <w:b/>
                <w:bCs/>
                <w:kern w:val="0"/>
                <w:sz w:val="22"/>
                <w:szCs w:val="22"/>
                <w:lang w:val="hr-HR" w:eastAsia="hr-HR"/>
              </w:rPr>
              <w:t>2.858</w:t>
            </w:r>
          </w:p>
        </w:tc>
        <w:tc>
          <w:tcPr>
            <w:tcW w:w="1615" w:type="dxa"/>
            <w:tcBorders>
              <w:top w:val="single" w:sz="4" w:space="0" w:color="auto"/>
              <w:left w:val="nil"/>
              <w:bottom w:val="single" w:sz="4" w:space="0" w:color="auto"/>
              <w:right w:val="nil"/>
            </w:tcBorders>
            <w:shd w:val="clear" w:color="auto" w:fill="EAEAEA"/>
            <w:noWrap/>
            <w:vAlign w:val="center"/>
          </w:tcPr>
          <w:p w:rsidR="003E4626" w:rsidRPr="006D74BD" w:rsidRDefault="003E4626" w:rsidP="006D74BD">
            <w:pPr>
              <w:suppressAutoHyphens w:val="0"/>
              <w:jc w:val="right"/>
              <w:rPr>
                <w:rFonts w:ascii="Tele-GroteskEEHal" w:hAnsi="Tele-GroteskEEHal"/>
                <w:b/>
                <w:bCs/>
                <w:i/>
                <w:iCs/>
                <w:kern w:val="0"/>
                <w:lang w:val="hr-HR" w:eastAsia="hr-HR"/>
              </w:rPr>
            </w:pPr>
            <w:r w:rsidRPr="006D74BD">
              <w:rPr>
                <w:rFonts w:ascii="Tele-GroteskEEHal" w:hAnsi="Tele-GroteskEEHal"/>
                <w:b/>
                <w:bCs/>
                <w:i/>
                <w:iCs/>
                <w:kern w:val="0"/>
                <w:sz w:val="22"/>
                <w:szCs w:val="22"/>
                <w:lang w:val="hr-HR" w:eastAsia="hr-HR"/>
              </w:rPr>
              <w:t>-2,1%</w:t>
            </w:r>
          </w:p>
        </w:tc>
      </w:tr>
      <w:tr w:rsidR="003E4626" w:rsidRPr="006D74BD" w:rsidTr="006D74BD">
        <w:trPr>
          <w:trHeight w:val="330"/>
        </w:trPr>
        <w:tc>
          <w:tcPr>
            <w:tcW w:w="43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Jednokratne stavke</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0</w:t>
            </w:r>
          </w:p>
        </w:tc>
        <w:tc>
          <w:tcPr>
            <w:tcW w:w="137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0</w:t>
            </w:r>
          </w:p>
        </w:tc>
        <w:tc>
          <w:tcPr>
            <w:tcW w:w="161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w:t>
            </w:r>
          </w:p>
        </w:tc>
      </w:tr>
      <w:tr w:rsidR="003E4626" w:rsidRPr="006D74BD" w:rsidTr="006D74BD">
        <w:trPr>
          <w:trHeight w:val="780"/>
        </w:trPr>
        <w:tc>
          <w:tcPr>
            <w:tcW w:w="4336" w:type="dxa"/>
            <w:tcBorders>
              <w:top w:val="single" w:sz="4" w:space="0" w:color="auto"/>
              <w:left w:val="nil"/>
              <w:bottom w:val="single" w:sz="4" w:space="0" w:color="auto"/>
              <w:right w:val="nil"/>
            </w:tcBorders>
            <w:shd w:val="clear" w:color="auto" w:fill="E20074"/>
            <w:vAlign w:val="center"/>
          </w:tcPr>
          <w:p w:rsidR="003E4626" w:rsidRPr="006D74BD" w:rsidRDefault="003E4626" w:rsidP="006D74BD">
            <w:pPr>
              <w:suppressAutoHyphens w:val="0"/>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Ukupna EBITDA</w:t>
            </w:r>
          </w:p>
        </w:tc>
        <w:tc>
          <w:tcPr>
            <w:tcW w:w="1354" w:type="dxa"/>
            <w:tcBorders>
              <w:top w:val="single" w:sz="4" w:space="0" w:color="auto"/>
              <w:left w:val="nil"/>
              <w:bottom w:val="single" w:sz="4" w:space="0" w:color="auto"/>
              <w:right w:val="nil"/>
            </w:tcBorders>
            <w:shd w:val="clear" w:color="auto" w:fill="E20074"/>
            <w:noWrap/>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2.799</w:t>
            </w:r>
          </w:p>
        </w:tc>
        <w:tc>
          <w:tcPr>
            <w:tcW w:w="1375" w:type="dxa"/>
            <w:tcBorders>
              <w:top w:val="single" w:sz="4" w:space="0" w:color="auto"/>
              <w:left w:val="nil"/>
              <w:bottom w:val="single" w:sz="4" w:space="0" w:color="auto"/>
              <w:right w:val="nil"/>
            </w:tcBorders>
            <w:shd w:val="clear" w:color="auto" w:fill="E20074"/>
            <w:noWrap/>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2.858</w:t>
            </w:r>
          </w:p>
        </w:tc>
        <w:tc>
          <w:tcPr>
            <w:tcW w:w="1615" w:type="dxa"/>
            <w:tcBorders>
              <w:top w:val="single" w:sz="4" w:space="0" w:color="auto"/>
              <w:left w:val="nil"/>
              <w:bottom w:val="single" w:sz="4" w:space="0" w:color="auto"/>
              <w:right w:val="nil"/>
            </w:tcBorders>
            <w:shd w:val="clear" w:color="auto" w:fill="E20074"/>
            <w:noWrap/>
            <w:vAlign w:val="center"/>
          </w:tcPr>
          <w:p w:rsidR="003E4626" w:rsidRPr="006D74BD" w:rsidRDefault="003E4626" w:rsidP="006D74BD">
            <w:pPr>
              <w:suppressAutoHyphens w:val="0"/>
              <w:jc w:val="right"/>
              <w:rPr>
                <w:rFonts w:ascii="Tele-GroteskEEHal" w:hAnsi="Tele-GroteskEEHal"/>
                <w:b/>
                <w:bCs/>
                <w:i/>
                <w:iCs/>
                <w:color w:val="FFFFFF"/>
                <w:kern w:val="0"/>
                <w:lang w:val="hr-HR" w:eastAsia="hr-HR"/>
              </w:rPr>
            </w:pPr>
            <w:r w:rsidRPr="006D74BD">
              <w:rPr>
                <w:rFonts w:ascii="Tele-GroteskEEHal" w:hAnsi="Tele-GroteskEEHal"/>
                <w:b/>
                <w:bCs/>
                <w:i/>
                <w:iCs/>
                <w:color w:val="FFFFFF"/>
                <w:kern w:val="0"/>
                <w:sz w:val="22"/>
                <w:szCs w:val="22"/>
                <w:lang w:val="hr-HR" w:eastAsia="hr-HR"/>
              </w:rPr>
              <w:t>-2,1%</w:t>
            </w:r>
          </w:p>
        </w:tc>
      </w:tr>
    </w:tbl>
    <w:p w:rsidR="003E4626" w:rsidRPr="00960D6B" w:rsidRDefault="003E4626" w:rsidP="00665230">
      <w:pPr>
        <w:spacing w:before="240" w:after="240"/>
        <w:jc w:val="both"/>
        <w:outlineLvl w:val="0"/>
        <w:rPr>
          <w:rFonts w:ascii="Tele-GroteskEEHal" w:hAnsi="Tele-GroteskEEHal"/>
          <w:b/>
          <w:bCs/>
          <w:sz w:val="22"/>
          <w:szCs w:val="22"/>
          <w:lang w:val="hr-HR"/>
        </w:rPr>
      </w:pPr>
    </w:p>
    <w:p w:rsidR="003E4626" w:rsidRDefault="003E4626" w:rsidP="00665230">
      <w:pPr>
        <w:spacing w:before="240" w:after="240"/>
        <w:jc w:val="both"/>
        <w:outlineLvl w:val="0"/>
        <w:rPr>
          <w:rFonts w:ascii="Tele-GroteskEEHal" w:hAnsi="Tele-GroteskEEHal"/>
          <w:b/>
          <w:bCs/>
          <w:sz w:val="22"/>
          <w:szCs w:val="22"/>
          <w:lang w:val="hr-HR"/>
        </w:rPr>
      </w:pPr>
      <w:r w:rsidRPr="00960D6B">
        <w:rPr>
          <w:rFonts w:ascii="Tele-GroteskEEHal" w:hAnsi="Tele-GroteskEEHal"/>
          <w:b/>
          <w:bCs/>
          <w:sz w:val="22"/>
          <w:szCs w:val="22"/>
          <w:lang w:val="hr-HR"/>
        </w:rPr>
        <w:t>Analiza prihoda Grupe u skladu s prijašnjom strukturom izvješćivanja</w:t>
      </w:r>
    </w:p>
    <w:tbl>
      <w:tblPr>
        <w:tblW w:w="8780" w:type="dxa"/>
        <w:tblInd w:w="108" w:type="dxa"/>
        <w:tblLook w:val="0000"/>
      </w:tblPr>
      <w:tblGrid>
        <w:gridCol w:w="4436"/>
        <w:gridCol w:w="1354"/>
        <w:gridCol w:w="1355"/>
        <w:gridCol w:w="1635"/>
      </w:tblGrid>
      <w:tr w:rsidR="003E4626" w:rsidRPr="006D74BD" w:rsidTr="006D74BD">
        <w:trPr>
          <w:trHeight w:val="300"/>
        </w:trPr>
        <w:tc>
          <w:tcPr>
            <w:tcW w:w="4436" w:type="dxa"/>
            <w:vMerge w:val="restart"/>
            <w:tcBorders>
              <w:top w:val="nil"/>
              <w:left w:val="nil"/>
              <w:bottom w:val="nil"/>
              <w:right w:val="nil"/>
            </w:tcBorders>
            <w:shd w:val="clear" w:color="auto" w:fill="E20074"/>
            <w:noWrap/>
            <w:vAlign w:val="center"/>
          </w:tcPr>
          <w:p w:rsidR="003E4626" w:rsidRPr="006D74BD" w:rsidRDefault="003E4626" w:rsidP="006D74BD">
            <w:pPr>
              <w:suppressAutoHyphens w:val="0"/>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u milijunima kuna (MSFI)</w:t>
            </w:r>
          </w:p>
        </w:tc>
        <w:tc>
          <w:tcPr>
            <w:tcW w:w="1354" w:type="dxa"/>
            <w:vMerge w:val="restart"/>
            <w:tcBorders>
              <w:top w:val="nil"/>
              <w:left w:val="nil"/>
              <w:bottom w:val="nil"/>
              <w:right w:val="nil"/>
            </w:tcBorders>
            <w:shd w:val="clear" w:color="auto" w:fill="E20074"/>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 xml:space="preserve">Sij.-Ruj. </w:t>
            </w:r>
            <w:r w:rsidRPr="006D74BD">
              <w:rPr>
                <w:rFonts w:ascii="Tele-GroteskEEHal" w:hAnsi="Tele-GroteskEEHal"/>
                <w:b/>
                <w:bCs/>
                <w:color w:val="FFFFFF"/>
                <w:kern w:val="0"/>
                <w:sz w:val="22"/>
                <w:szCs w:val="22"/>
                <w:lang w:val="hr-HR" w:eastAsia="hr-HR"/>
              </w:rPr>
              <w:br/>
              <w:t>2011.</w:t>
            </w:r>
          </w:p>
        </w:tc>
        <w:tc>
          <w:tcPr>
            <w:tcW w:w="1355" w:type="dxa"/>
            <w:vMerge w:val="restart"/>
            <w:tcBorders>
              <w:top w:val="nil"/>
              <w:left w:val="nil"/>
              <w:bottom w:val="nil"/>
              <w:right w:val="nil"/>
            </w:tcBorders>
            <w:shd w:val="clear" w:color="auto" w:fill="E20074"/>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 xml:space="preserve">Sij.-Ruj. </w:t>
            </w:r>
            <w:r w:rsidRPr="006D74BD">
              <w:rPr>
                <w:rFonts w:ascii="Tele-GroteskEEHal" w:hAnsi="Tele-GroteskEEHal"/>
                <w:b/>
                <w:bCs/>
                <w:color w:val="FFFFFF"/>
                <w:kern w:val="0"/>
                <w:sz w:val="22"/>
                <w:szCs w:val="22"/>
                <w:lang w:val="hr-HR" w:eastAsia="hr-HR"/>
              </w:rPr>
              <w:br/>
              <w:t>2010.</w:t>
            </w:r>
          </w:p>
        </w:tc>
        <w:tc>
          <w:tcPr>
            <w:tcW w:w="1635" w:type="dxa"/>
            <w:vMerge w:val="restart"/>
            <w:tcBorders>
              <w:top w:val="nil"/>
              <w:left w:val="nil"/>
              <w:bottom w:val="nil"/>
              <w:right w:val="nil"/>
            </w:tcBorders>
            <w:shd w:val="clear" w:color="auto" w:fill="E20074"/>
            <w:vAlign w:val="center"/>
          </w:tcPr>
          <w:p w:rsidR="003E4626" w:rsidRPr="006D74BD" w:rsidRDefault="003E4626" w:rsidP="006D74BD">
            <w:pPr>
              <w:suppressAutoHyphens w:val="0"/>
              <w:jc w:val="right"/>
              <w:rPr>
                <w:rFonts w:ascii="Tele-GroteskEEHal" w:hAnsi="Tele-GroteskEEHal"/>
                <w:b/>
                <w:bCs/>
                <w:i/>
                <w:iCs/>
                <w:color w:val="FFFFFF"/>
                <w:kern w:val="0"/>
                <w:lang w:val="hr-HR" w:eastAsia="hr-HR"/>
              </w:rPr>
            </w:pPr>
            <w:r w:rsidRPr="006D74BD">
              <w:rPr>
                <w:rFonts w:ascii="Tele-GroteskEEHal" w:hAnsi="Tele-GroteskEEHal"/>
                <w:b/>
                <w:bCs/>
                <w:i/>
                <w:iCs/>
                <w:color w:val="FFFFFF"/>
                <w:kern w:val="0"/>
                <w:sz w:val="22"/>
                <w:szCs w:val="22"/>
                <w:lang w:val="hr-HR" w:eastAsia="hr-HR"/>
              </w:rPr>
              <w:t xml:space="preserve">% promjene </w:t>
            </w:r>
            <w:r w:rsidRPr="006D74BD">
              <w:rPr>
                <w:rFonts w:ascii="Tele-GroteskEEHal" w:hAnsi="Tele-GroteskEEHal"/>
                <w:b/>
                <w:bCs/>
                <w:i/>
                <w:iCs/>
                <w:color w:val="FFFFFF"/>
                <w:kern w:val="0"/>
                <w:sz w:val="22"/>
                <w:szCs w:val="22"/>
                <w:lang w:val="hr-HR" w:eastAsia="hr-HR"/>
              </w:rPr>
              <w:br/>
              <w:t>11/10</w:t>
            </w:r>
          </w:p>
        </w:tc>
      </w:tr>
      <w:tr w:rsidR="003E4626" w:rsidRPr="006D74BD" w:rsidTr="006D74BD">
        <w:trPr>
          <w:trHeight w:val="439"/>
        </w:trPr>
        <w:tc>
          <w:tcPr>
            <w:tcW w:w="4436" w:type="dxa"/>
            <w:vMerge/>
            <w:tcBorders>
              <w:top w:val="nil"/>
              <w:left w:val="nil"/>
              <w:bottom w:val="nil"/>
              <w:right w:val="nil"/>
            </w:tcBorders>
            <w:vAlign w:val="center"/>
          </w:tcPr>
          <w:p w:rsidR="003E4626" w:rsidRPr="006D74BD" w:rsidRDefault="003E4626" w:rsidP="006D74BD">
            <w:pPr>
              <w:suppressAutoHyphens w:val="0"/>
              <w:rPr>
                <w:rFonts w:ascii="Tele-GroteskEEHal" w:hAnsi="Tele-GroteskEEHal"/>
                <w:b/>
                <w:bCs/>
                <w:color w:val="FFFFFF"/>
                <w:kern w:val="0"/>
                <w:lang w:val="hr-HR" w:eastAsia="hr-HR"/>
              </w:rPr>
            </w:pPr>
          </w:p>
        </w:tc>
        <w:tc>
          <w:tcPr>
            <w:tcW w:w="1354" w:type="dxa"/>
            <w:vMerge/>
            <w:tcBorders>
              <w:top w:val="nil"/>
              <w:left w:val="nil"/>
              <w:bottom w:val="nil"/>
              <w:right w:val="nil"/>
            </w:tcBorders>
            <w:vAlign w:val="center"/>
          </w:tcPr>
          <w:p w:rsidR="003E4626" w:rsidRPr="006D74BD" w:rsidRDefault="003E4626" w:rsidP="006D74BD">
            <w:pPr>
              <w:suppressAutoHyphens w:val="0"/>
              <w:rPr>
                <w:rFonts w:ascii="Tele-GroteskEEHal" w:hAnsi="Tele-GroteskEEHal"/>
                <w:b/>
                <w:bCs/>
                <w:color w:val="FFFFFF"/>
                <w:kern w:val="0"/>
                <w:lang w:val="hr-HR" w:eastAsia="hr-HR"/>
              </w:rPr>
            </w:pPr>
          </w:p>
        </w:tc>
        <w:tc>
          <w:tcPr>
            <w:tcW w:w="1355" w:type="dxa"/>
            <w:vMerge/>
            <w:tcBorders>
              <w:top w:val="nil"/>
              <w:left w:val="nil"/>
              <w:bottom w:val="nil"/>
              <w:right w:val="nil"/>
            </w:tcBorders>
            <w:vAlign w:val="center"/>
          </w:tcPr>
          <w:p w:rsidR="003E4626" w:rsidRPr="006D74BD" w:rsidRDefault="003E4626" w:rsidP="006D74BD">
            <w:pPr>
              <w:suppressAutoHyphens w:val="0"/>
              <w:rPr>
                <w:rFonts w:ascii="Tele-GroteskEEHal" w:hAnsi="Tele-GroteskEEHal"/>
                <w:b/>
                <w:bCs/>
                <w:color w:val="FFFFFF"/>
                <w:kern w:val="0"/>
                <w:lang w:val="hr-HR" w:eastAsia="hr-HR"/>
              </w:rPr>
            </w:pPr>
          </w:p>
        </w:tc>
        <w:tc>
          <w:tcPr>
            <w:tcW w:w="1635" w:type="dxa"/>
            <w:vMerge/>
            <w:tcBorders>
              <w:top w:val="nil"/>
              <w:left w:val="nil"/>
              <w:bottom w:val="nil"/>
              <w:right w:val="nil"/>
            </w:tcBorders>
            <w:vAlign w:val="center"/>
          </w:tcPr>
          <w:p w:rsidR="003E4626" w:rsidRPr="006D74BD" w:rsidRDefault="003E4626" w:rsidP="006D74BD">
            <w:pPr>
              <w:suppressAutoHyphens w:val="0"/>
              <w:rPr>
                <w:rFonts w:ascii="Tele-GroteskEEHal" w:hAnsi="Tele-GroteskEEHal"/>
                <w:b/>
                <w:bCs/>
                <w:i/>
                <w:iCs/>
                <w:color w:val="FFFFFF"/>
                <w:kern w:val="0"/>
                <w:lang w:val="hr-HR" w:eastAsia="hr-HR"/>
              </w:rPr>
            </w:pPr>
          </w:p>
        </w:tc>
      </w:tr>
      <w:tr w:rsidR="003E4626" w:rsidRPr="006D74BD" w:rsidTr="006D74BD">
        <w:trPr>
          <w:trHeight w:val="342"/>
        </w:trPr>
        <w:tc>
          <w:tcPr>
            <w:tcW w:w="44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Pokretna telefonija</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2.542</w:t>
            </w:r>
          </w:p>
        </w:tc>
        <w:tc>
          <w:tcPr>
            <w:tcW w:w="135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2.844</w:t>
            </w:r>
          </w:p>
        </w:tc>
        <w:tc>
          <w:tcPr>
            <w:tcW w:w="1635" w:type="dxa"/>
            <w:tcBorders>
              <w:top w:val="nil"/>
              <w:left w:val="nil"/>
              <w:bottom w:val="nil"/>
              <w:right w:val="nil"/>
            </w:tcBorders>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-10,6%</w:t>
            </w:r>
          </w:p>
        </w:tc>
      </w:tr>
      <w:tr w:rsidR="003E4626" w:rsidRPr="006D74BD" w:rsidTr="006D74BD">
        <w:trPr>
          <w:trHeight w:val="342"/>
        </w:trPr>
        <w:tc>
          <w:tcPr>
            <w:tcW w:w="44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Nepokretna telefonija</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1.592</w:t>
            </w:r>
          </w:p>
        </w:tc>
        <w:tc>
          <w:tcPr>
            <w:tcW w:w="135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1.740</w:t>
            </w:r>
          </w:p>
        </w:tc>
        <w:tc>
          <w:tcPr>
            <w:tcW w:w="1635" w:type="dxa"/>
            <w:tcBorders>
              <w:top w:val="nil"/>
              <w:left w:val="nil"/>
              <w:bottom w:val="nil"/>
              <w:right w:val="nil"/>
            </w:tcBorders>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-8,5%</w:t>
            </w:r>
          </w:p>
        </w:tc>
      </w:tr>
      <w:tr w:rsidR="003E4626" w:rsidRPr="006D74BD" w:rsidTr="006D74BD">
        <w:trPr>
          <w:trHeight w:val="342"/>
        </w:trPr>
        <w:tc>
          <w:tcPr>
            <w:tcW w:w="44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Veleprodajne usluge</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438</w:t>
            </w:r>
          </w:p>
        </w:tc>
        <w:tc>
          <w:tcPr>
            <w:tcW w:w="135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488</w:t>
            </w:r>
          </w:p>
        </w:tc>
        <w:tc>
          <w:tcPr>
            <w:tcW w:w="1635" w:type="dxa"/>
            <w:tcBorders>
              <w:top w:val="nil"/>
              <w:left w:val="nil"/>
              <w:bottom w:val="nil"/>
              <w:right w:val="nil"/>
            </w:tcBorders>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-10,3%</w:t>
            </w:r>
          </w:p>
        </w:tc>
      </w:tr>
      <w:tr w:rsidR="003E4626" w:rsidRPr="006D74BD" w:rsidTr="006D74BD">
        <w:trPr>
          <w:trHeight w:val="342"/>
        </w:trPr>
        <w:tc>
          <w:tcPr>
            <w:tcW w:w="44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Internetske usluge</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1.116</w:t>
            </w:r>
          </w:p>
        </w:tc>
        <w:tc>
          <w:tcPr>
            <w:tcW w:w="135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1.016</w:t>
            </w:r>
          </w:p>
        </w:tc>
        <w:tc>
          <w:tcPr>
            <w:tcW w:w="1635" w:type="dxa"/>
            <w:tcBorders>
              <w:top w:val="nil"/>
              <w:left w:val="nil"/>
              <w:bottom w:val="nil"/>
              <w:right w:val="nil"/>
            </w:tcBorders>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9,9%</w:t>
            </w:r>
          </w:p>
        </w:tc>
      </w:tr>
      <w:tr w:rsidR="003E4626" w:rsidRPr="006D74BD" w:rsidTr="006D74BD">
        <w:trPr>
          <w:trHeight w:val="342"/>
        </w:trPr>
        <w:tc>
          <w:tcPr>
            <w:tcW w:w="44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Podatkovne usluge</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95</w:t>
            </w:r>
          </w:p>
        </w:tc>
        <w:tc>
          <w:tcPr>
            <w:tcW w:w="135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115</w:t>
            </w:r>
          </w:p>
        </w:tc>
        <w:tc>
          <w:tcPr>
            <w:tcW w:w="1635" w:type="dxa"/>
            <w:tcBorders>
              <w:top w:val="nil"/>
              <w:left w:val="nil"/>
              <w:bottom w:val="nil"/>
              <w:right w:val="nil"/>
            </w:tcBorders>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-17,3%</w:t>
            </w:r>
          </w:p>
        </w:tc>
      </w:tr>
      <w:tr w:rsidR="003E4626" w:rsidRPr="006D74BD" w:rsidTr="006D74BD">
        <w:trPr>
          <w:trHeight w:val="342"/>
        </w:trPr>
        <w:tc>
          <w:tcPr>
            <w:tcW w:w="44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ICT</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306</w:t>
            </w:r>
          </w:p>
        </w:tc>
        <w:tc>
          <w:tcPr>
            <w:tcW w:w="135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115</w:t>
            </w:r>
          </w:p>
        </w:tc>
        <w:tc>
          <w:tcPr>
            <w:tcW w:w="1635" w:type="dxa"/>
            <w:tcBorders>
              <w:top w:val="nil"/>
              <w:left w:val="nil"/>
              <w:bottom w:val="nil"/>
              <w:right w:val="nil"/>
            </w:tcBorders>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165,6%</w:t>
            </w:r>
          </w:p>
        </w:tc>
      </w:tr>
      <w:tr w:rsidR="003E4626" w:rsidRPr="006D74BD" w:rsidTr="006D74BD">
        <w:trPr>
          <w:trHeight w:val="342"/>
        </w:trPr>
        <w:tc>
          <w:tcPr>
            <w:tcW w:w="4436" w:type="dxa"/>
            <w:tcBorders>
              <w:top w:val="nil"/>
              <w:left w:val="nil"/>
              <w:bottom w:val="nil"/>
              <w:right w:val="nil"/>
            </w:tcBorders>
            <w:noWrap/>
            <w:vAlign w:val="center"/>
          </w:tcPr>
          <w:p w:rsidR="003E4626" w:rsidRPr="006D74BD" w:rsidRDefault="003E4626" w:rsidP="006D74BD">
            <w:pPr>
              <w:suppressAutoHyphens w:val="0"/>
              <w:rPr>
                <w:rFonts w:ascii="Tele-GroteskEEHal" w:hAnsi="Tele-GroteskEEHal"/>
                <w:kern w:val="0"/>
                <w:lang w:val="hr-HR" w:eastAsia="hr-HR"/>
              </w:rPr>
            </w:pPr>
            <w:r w:rsidRPr="006D74BD">
              <w:rPr>
                <w:rFonts w:ascii="Tele-GroteskEEHal" w:hAnsi="Tele-GroteskEEHal"/>
                <w:kern w:val="0"/>
                <w:sz w:val="22"/>
                <w:szCs w:val="22"/>
                <w:lang w:val="hr-HR" w:eastAsia="hr-HR"/>
              </w:rPr>
              <w:t>Razno</w:t>
            </w:r>
          </w:p>
        </w:tc>
        <w:tc>
          <w:tcPr>
            <w:tcW w:w="1354"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4</w:t>
            </w:r>
          </w:p>
        </w:tc>
        <w:tc>
          <w:tcPr>
            <w:tcW w:w="1355" w:type="dxa"/>
            <w:tcBorders>
              <w:top w:val="nil"/>
              <w:left w:val="nil"/>
              <w:bottom w:val="nil"/>
              <w:right w:val="nil"/>
            </w:tcBorders>
            <w:noWrap/>
            <w:vAlign w:val="center"/>
          </w:tcPr>
          <w:p w:rsidR="003E4626" w:rsidRPr="006D74BD" w:rsidRDefault="003E4626" w:rsidP="006D74BD">
            <w:pPr>
              <w:suppressAutoHyphens w:val="0"/>
              <w:jc w:val="right"/>
              <w:rPr>
                <w:rFonts w:ascii="Tele-GroteskEEHal" w:hAnsi="Tele-GroteskEEHal"/>
                <w:kern w:val="0"/>
                <w:lang w:val="hr-HR" w:eastAsia="hr-HR"/>
              </w:rPr>
            </w:pPr>
            <w:r w:rsidRPr="006D74BD">
              <w:rPr>
                <w:rFonts w:ascii="Tele-GroteskEEHal" w:hAnsi="Tele-GroteskEEHal"/>
                <w:kern w:val="0"/>
                <w:sz w:val="22"/>
                <w:szCs w:val="22"/>
                <w:lang w:val="hr-HR" w:eastAsia="hr-HR"/>
              </w:rPr>
              <w:t>3</w:t>
            </w:r>
          </w:p>
        </w:tc>
        <w:tc>
          <w:tcPr>
            <w:tcW w:w="1635" w:type="dxa"/>
            <w:tcBorders>
              <w:top w:val="nil"/>
              <w:left w:val="nil"/>
              <w:bottom w:val="nil"/>
              <w:right w:val="nil"/>
            </w:tcBorders>
            <w:vAlign w:val="center"/>
          </w:tcPr>
          <w:p w:rsidR="003E4626" w:rsidRPr="006D74BD" w:rsidRDefault="003E4626" w:rsidP="006D74BD">
            <w:pPr>
              <w:suppressAutoHyphens w:val="0"/>
              <w:jc w:val="right"/>
              <w:rPr>
                <w:rFonts w:ascii="Tele-GroteskEEHal" w:hAnsi="Tele-GroteskEEHal"/>
                <w:i/>
                <w:iCs/>
                <w:kern w:val="0"/>
                <w:lang w:val="hr-HR" w:eastAsia="hr-HR"/>
              </w:rPr>
            </w:pPr>
            <w:r w:rsidRPr="006D74BD">
              <w:rPr>
                <w:rFonts w:ascii="Tele-GroteskEEHal" w:hAnsi="Tele-GroteskEEHal"/>
                <w:i/>
                <w:iCs/>
                <w:kern w:val="0"/>
                <w:sz w:val="22"/>
                <w:szCs w:val="22"/>
                <w:lang w:val="hr-HR" w:eastAsia="hr-HR"/>
              </w:rPr>
              <w:t>68,7%</w:t>
            </w:r>
          </w:p>
        </w:tc>
      </w:tr>
      <w:tr w:rsidR="003E4626" w:rsidRPr="006D74BD" w:rsidTr="006D74BD">
        <w:trPr>
          <w:trHeight w:val="342"/>
        </w:trPr>
        <w:tc>
          <w:tcPr>
            <w:tcW w:w="4436" w:type="dxa"/>
            <w:tcBorders>
              <w:top w:val="nil"/>
              <w:left w:val="nil"/>
              <w:bottom w:val="nil"/>
              <w:right w:val="nil"/>
            </w:tcBorders>
            <w:shd w:val="clear" w:color="auto" w:fill="E20074"/>
            <w:vAlign w:val="center"/>
          </w:tcPr>
          <w:p w:rsidR="003E4626" w:rsidRPr="006D74BD" w:rsidRDefault="003E4626" w:rsidP="006D74BD">
            <w:pPr>
              <w:suppressAutoHyphens w:val="0"/>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Prihod</w:t>
            </w:r>
          </w:p>
        </w:tc>
        <w:tc>
          <w:tcPr>
            <w:tcW w:w="1354" w:type="dxa"/>
            <w:tcBorders>
              <w:top w:val="nil"/>
              <w:left w:val="nil"/>
              <w:bottom w:val="nil"/>
              <w:right w:val="nil"/>
            </w:tcBorders>
            <w:shd w:val="clear" w:color="auto" w:fill="E20074"/>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6.092</w:t>
            </w:r>
          </w:p>
        </w:tc>
        <w:tc>
          <w:tcPr>
            <w:tcW w:w="1355" w:type="dxa"/>
            <w:tcBorders>
              <w:top w:val="nil"/>
              <w:left w:val="nil"/>
              <w:bottom w:val="nil"/>
              <w:right w:val="nil"/>
            </w:tcBorders>
            <w:shd w:val="clear" w:color="auto" w:fill="E20074"/>
            <w:vAlign w:val="center"/>
          </w:tcPr>
          <w:p w:rsidR="003E4626" w:rsidRPr="006D74BD" w:rsidRDefault="003E4626" w:rsidP="006D74BD">
            <w:pPr>
              <w:suppressAutoHyphens w:val="0"/>
              <w:jc w:val="right"/>
              <w:rPr>
                <w:rFonts w:ascii="Tele-GroteskEEHal" w:hAnsi="Tele-GroteskEEHal"/>
                <w:b/>
                <w:bCs/>
                <w:color w:val="FFFFFF"/>
                <w:kern w:val="0"/>
                <w:lang w:val="hr-HR" w:eastAsia="hr-HR"/>
              </w:rPr>
            </w:pPr>
            <w:r w:rsidRPr="006D74BD">
              <w:rPr>
                <w:rFonts w:ascii="Tele-GroteskEEHal" w:hAnsi="Tele-GroteskEEHal"/>
                <w:b/>
                <w:bCs/>
                <w:color w:val="FFFFFF"/>
                <w:kern w:val="0"/>
                <w:sz w:val="22"/>
                <w:szCs w:val="22"/>
                <w:lang w:val="hr-HR" w:eastAsia="hr-HR"/>
              </w:rPr>
              <w:t>6.321</w:t>
            </w:r>
          </w:p>
        </w:tc>
        <w:tc>
          <w:tcPr>
            <w:tcW w:w="1635" w:type="dxa"/>
            <w:tcBorders>
              <w:top w:val="nil"/>
              <w:left w:val="nil"/>
              <w:bottom w:val="nil"/>
              <w:right w:val="nil"/>
            </w:tcBorders>
            <w:shd w:val="clear" w:color="auto" w:fill="E20074"/>
            <w:vAlign w:val="center"/>
          </w:tcPr>
          <w:p w:rsidR="003E4626" w:rsidRPr="006D74BD" w:rsidRDefault="003E4626" w:rsidP="006D74BD">
            <w:pPr>
              <w:suppressAutoHyphens w:val="0"/>
              <w:jc w:val="right"/>
              <w:rPr>
                <w:rFonts w:ascii="Tele-GroteskEEHal" w:hAnsi="Tele-GroteskEEHal"/>
                <w:b/>
                <w:bCs/>
                <w:i/>
                <w:iCs/>
                <w:color w:val="FFFFFF"/>
                <w:kern w:val="0"/>
                <w:lang w:val="hr-HR" w:eastAsia="hr-HR"/>
              </w:rPr>
            </w:pPr>
            <w:r w:rsidRPr="006D74BD">
              <w:rPr>
                <w:rFonts w:ascii="Tele-GroteskEEHal" w:hAnsi="Tele-GroteskEEHal"/>
                <w:b/>
                <w:bCs/>
                <w:i/>
                <w:iCs/>
                <w:color w:val="FFFFFF"/>
                <w:kern w:val="0"/>
                <w:sz w:val="22"/>
                <w:szCs w:val="22"/>
                <w:lang w:val="hr-HR" w:eastAsia="hr-HR"/>
              </w:rPr>
              <w:t>-3,6%</w:t>
            </w:r>
          </w:p>
        </w:tc>
      </w:tr>
    </w:tbl>
    <w:p w:rsidR="003E4626" w:rsidRDefault="003E4626" w:rsidP="00665230">
      <w:pPr>
        <w:spacing w:before="240" w:after="240"/>
        <w:jc w:val="both"/>
        <w:outlineLvl w:val="0"/>
        <w:rPr>
          <w:rFonts w:ascii="Tele-GroteskEEHal" w:hAnsi="Tele-GroteskEEHal"/>
          <w:b/>
          <w:bCs/>
          <w:sz w:val="22"/>
          <w:szCs w:val="22"/>
          <w:lang w:val="hr-HR"/>
        </w:rPr>
      </w:pPr>
    </w:p>
    <w:p w:rsidR="003E4626" w:rsidRDefault="003E4626" w:rsidP="00AB0002">
      <w:pPr>
        <w:spacing w:before="240" w:after="240"/>
        <w:jc w:val="both"/>
        <w:outlineLvl w:val="0"/>
        <w:rPr>
          <w:rFonts w:ascii="Tele-GroteskEEHal" w:hAnsi="Tele-GroteskEEHal" w:cs="Arial"/>
          <w:b/>
          <w:sz w:val="22"/>
          <w:szCs w:val="22"/>
          <w:lang w:val="hr-HR"/>
        </w:rPr>
      </w:pPr>
      <w:r w:rsidRPr="00ED66C9">
        <w:rPr>
          <w:rFonts w:ascii="Tele-GroteskEEHal" w:hAnsi="Tele-GroteskEEHal" w:cs="Arial"/>
          <w:b/>
          <w:sz w:val="22"/>
          <w:szCs w:val="22"/>
          <w:lang w:val="hr-HR"/>
        </w:rPr>
        <w:t xml:space="preserve">Izvješće o promjenama u temeljnom kapitalu </w:t>
      </w:r>
    </w:p>
    <w:p w:rsidR="003E4626" w:rsidRPr="00B41DD0" w:rsidRDefault="003E4626" w:rsidP="00AB0002">
      <w:pPr>
        <w:rPr>
          <w:rFonts w:ascii="Tele-GroteskEEHal" w:hAnsi="Tele-GroteskEEHal"/>
          <w:sz w:val="20"/>
          <w:szCs w:val="20"/>
        </w:rPr>
      </w:pPr>
      <w:r>
        <w:rPr>
          <w:rFonts w:ascii="Tele-GroteskEEHal" w:hAnsi="Tele-GroteskEEHal"/>
          <w:sz w:val="22"/>
          <w:szCs w:val="22"/>
        </w:rPr>
        <w:tab/>
      </w:r>
      <w:r>
        <w:rPr>
          <w:rFonts w:ascii="Tele-GroteskEEHal" w:hAnsi="Tele-GroteskEEHal"/>
          <w:sz w:val="22"/>
          <w:szCs w:val="22"/>
        </w:rPr>
        <w:tab/>
      </w:r>
      <w:r>
        <w:rPr>
          <w:rFonts w:ascii="Tele-GroteskEEHal" w:hAnsi="Tele-GroteskEEHal"/>
          <w:sz w:val="22"/>
          <w:szCs w:val="22"/>
        </w:rPr>
        <w:tab/>
      </w:r>
      <w:r>
        <w:rPr>
          <w:rFonts w:ascii="Tele-GroteskEEHal" w:hAnsi="Tele-GroteskEEHal"/>
          <w:sz w:val="22"/>
          <w:szCs w:val="22"/>
        </w:rPr>
        <w:tab/>
      </w:r>
      <w:r>
        <w:rPr>
          <w:rFonts w:ascii="Tele-GroteskEEHal" w:hAnsi="Tele-GroteskEEHal"/>
          <w:sz w:val="22"/>
          <w:szCs w:val="22"/>
        </w:rPr>
        <w:tab/>
      </w:r>
      <w:r>
        <w:rPr>
          <w:rFonts w:ascii="Tele-GroteskEEHal" w:hAnsi="Tele-GroteskEEHal"/>
          <w:sz w:val="22"/>
          <w:szCs w:val="22"/>
        </w:rPr>
        <w:tab/>
      </w:r>
      <w:r>
        <w:rPr>
          <w:rFonts w:ascii="Tele-GroteskEEHal" w:hAnsi="Tele-GroteskEEHal"/>
          <w:sz w:val="22"/>
          <w:szCs w:val="22"/>
        </w:rPr>
        <w:tab/>
      </w:r>
      <w:r>
        <w:rPr>
          <w:rFonts w:ascii="Tele-GroteskEEHal" w:hAnsi="Tele-GroteskEEHal"/>
          <w:sz w:val="22"/>
          <w:szCs w:val="22"/>
        </w:rPr>
        <w:tab/>
      </w:r>
      <w:r>
        <w:rPr>
          <w:rFonts w:ascii="Tele-GroteskEEHal" w:hAnsi="Tele-GroteskEEHal"/>
          <w:sz w:val="22"/>
          <w:szCs w:val="22"/>
        </w:rPr>
        <w:tab/>
        <w:t xml:space="preserve">         </w:t>
      </w:r>
      <w:r w:rsidRPr="00B41DD0">
        <w:rPr>
          <w:rFonts w:ascii="Tele-GroteskEEHal" w:hAnsi="Tele-GroteskEEHal"/>
          <w:sz w:val="20"/>
          <w:szCs w:val="20"/>
        </w:rPr>
        <w:t xml:space="preserve"> in HRK million</w:t>
      </w:r>
    </w:p>
    <w:tbl>
      <w:tblPr>
        <w:tblW w:w="8415" w:type="dxa"/>
        <w:tblInd w:w="93" w:type="dxa"/>
        <w:tblLayout w:type="fixed"/>
        <w:tblLook w:val="0000"/>
      </w:tblPr>
      <w:tblGrid>
        <w:gridCol w:w="5535"/>
        <w:gridCol w:w="1440"/>
        <w:gridCol w:w="1440"/>
      </w:tblGrid>
      <w:tr w:rsidR="003E4626" w:rsidRPr="00D31FD6" w:rsidTr="00BA5338">
        <w:trPr>
          <w:trHeight w:val="675"/>
        </w:trPr>
        <w:tc>
          <w:tcPr>
            <w:tcW w:w="5535" w:type="dxa"/>
            <w:tcBorders>
              <w:top w:val="single" w:sz="4" w:space="0" w:color="auto"/>
              <w:bottom w:val="single" w:sz="4" w:space="0" w:color="auto"/>
            </w:tcBorders>
            <w:vAlign w:val="center"/>
          </w:tcPr>
          <w:p w:rsidR="003E4626" w:rsidRPr="00D31FD6" w:rsidRDefault="003E4626" w:rsidP="00BA5338">
            <w:pPr>
              <w:jc w:val="center"/>
              <w:rPr>
                <w:rFonts w:ascii="Tele-GroteskEEHal" w:hAnsi="Tele-GroteskEEHal" w:cs="Arial"/>
                <w:b/>
                <w:bCs/>
              </w:rPr>
            </w:pPr>
            <w:r w:rsidRPr="00D31FD6">
              <w:rPr>
                <w:rFonts w:ascii="Tele-GroteskEEHal" w:hAnsi="Tele-GroteskEEHal" w:cs="Arial"/>
                <w:b/>
                <w:bCs/>
                <w:sz w:val="22"/>
                <w:szCs w:val="22"/>
              </w:rPr>
              <w:t>Position</w:t>
            </w:r>
          </w:p>
        </w:tc>
        <w:tc>
          <w:tcPr>
            <w:tcW w:w="1440" w:type="dxa"/>
            <w:tcBorders>
              <w:top w:val="single" w:sz="4" w:space="0" w:color="auto"/>
              <w:bottom w:val="single" w:sz="4" w:space="0" w:color="auto"/>
            </w:tcBorders>
            <w:vAlign w:val="center"/>
          </w:tcPr>
          <w:p w:rsidR="003E4626" w:rsidRPr="00D31FD6" w:rsidRDefault="003E4626" w:rsidP="00BA5338">
            <w:pPr>
              <w:jc w:val="center"/>
              <w:rPr>
                <w:rFonts w:ascii="Tele-GroteskEEHal" w:hAnsi="Tele-GroteskEEHal" w:cs="Arial"/>
                <w:b/>
                <w:bCs/>
              </w:rPr>
            </w:pPr>
            <w:r w:rsidRPr="00872852">
              <w:rPr>
                <w:rFonts w:ascii="Tele-GroteskEEHal" w:hAnsi="Tele-GroteskEEHal" w:cs="Arial"/>
                <w:b/>
                <w:bCs/>
                <w:sz w:val="22"/>
                <w:szCs w:val="22"/>
                <w:lang w:val="hr-HR"/>
              </w:rPr>
              <w:t>31</w:t>
            </w:r>
            <w:r>
              <w:rPr>
                <w:rFonts w:ascii="Tele-GroteskEEHal" w:hAnsi="Tele-GroteskEEHal" w:cs="Arial"/>
                <w:b/>
                <w:bCs/>
                <w:sz w:val="22"/>
                <w:szCs w:val="22"/>
                <w:lang w:val="hr-HR"/>
              </w:rPr>
              <w:t>.</w:t>
            </w:r>
            <w:r w:rsidRPr="00872852">
              <w:rPr>
                <w:rFonts w:ascii="Tele-GroteskEEHal" w:hAnsi="Tele-GroteskEEHal" w:cs="Arial"/>
                <w:b/>
                <w:bCs/>
                <w:sz w:val="22"/>
                <w:szCs w:val="22"/>
                <w:lang w:val="hr-HR"/>
              </w:rPr>
              <w:t xml:space="preserve"> </w:t>
            </w:r>
            <w:r>
              <w:rPr>
                <w:rFonts w:ascii="Tele-GroteskEEHal" w:hAnsi="Tele-GroteskEEHal" w:cs="Arial"/>
                <w:b/>
                <w:bCs/>
                <w:sz w:val="22"/>
                <w:szCs w:val="22"/>
                <w:lang w:val="hr-HR"/>
              </w:rPr>
              <w:t xml:space="preserve">Prosinca </w:t>
            </w:r>
            <w:r w:rsidRPr="00872852">
              <w:rPr>
                <w:rFonts w:ascii="Tele-GroteskEEHal" w:hAnsi="Tele-GroteskEEHal" w:cs="Arial"/>
                <w:b/>
                <w:bCs/>
                <w:sz w:val="22"/>
                <w:szCs w:val="22"/>
                <w:lang w:val="hr-HR"/>
              </w:rPr>
              <w:t xml:space="preserve"> 2010</w:t>
            </w:r>
          </w:p>
        </w:tc>
        <w:tc>
          <w:tcPr>
            <w:tcW w:w="1440" w:type="dxa"/>
            <w:tcBorders>
              <w:top w:val="single" w:sz="4" w:space="0" w:color="auto"/>
              <w:bottom w:val="single" w:sz="4" w:space="0" w:color="auto"/>
            </w:tcBorders>
            <w:vAlign w:val="center"/>
          </w:tcPr>
          <w:p w:rsidR="003E4626" w:rsidRPr="00D31FD6" w:rsidRDefault="003E4626" w:rsidP="00BA5338">
            <w:pPr>
              <w:jc w:val="center"/>
              <w:rPr>
                <w:rFonts w:ascii="Tele-GroteskEEHal" w:hAnsi="Tele-GroteskEEHal" w:cs="Arial"/>
                <w:b/>
                <w:bCs/>
              </w:rPr>
            </w:pPr>
            <w:r>
              <w:rPr>
                <w:rFonts w:ascii="Tele-GroteskEEHal" w:hAnsi="Tele-GroteskEEHal" w:cs="Arial"/>
                <w:b/>
                <w:bCs/>
                <w:sz w:val="22"/>
                <w:szCs w:val="22"/>
                <w:lang w:val="hr-HR"/>
              </w:rPr>
              <w:t>30.</w:t>
            </w:r>
            <w:r w:rsidRPr="00872852">
              <w:rPr>
                <w:rFonts w:ascii="Tele-GroteskEEHal" w:hAnsi="Tele-GroteskEEHal" w:cs="Arial"/>
                <w:b/>
                <w:bCs/>
                <w:sz w:val="22"/>
                <w:szCs w:val="22"/>
                <w:lang w:val="hr-HR"/>
              </w:rPr>
              <w:t xml:space="preserve"> </w:t>
            </w:r>
            <w:r>
              <w:rPr>
                <w:rFonts w:ascii="Tele-GroteskEEHal" w:hAnsi="Tele-GroteskEEHal" w:cs="Arial"/>
                <w:b/>
                <w:bCs/>
                <w:sz w:val="22"/>
                <w:szCs w:val="22"/>
                <w:lang w:val="hr-HR"/>
              </w:rPr>
              <w:t xml:space="preserve">Rujna   </w:t>
            </w:r>
            <w:r w:rsidRPr="00872852">
              <w:rPr>
                <w:rFonts w:ascii="Tele-GroteskEEHal" w:hAnsi="Tele-GroteskEEHal" w:cs="Arial"/>
                <w:b/>
                <w:bCs/>
                <w:sz w:val="22"/>
                <w:szCs w:val="22"/>
                <w:lang w:val="hr-HR"/>
              </w:rPr>
              <w:t>2011</w:t>
            </w:r>
          </w:p>
        </w:tc>
      </w:tr>
      <w:tr w:rsidR="003E4626" w:rsidRPr="00D31FD6" w:rsidTr="00BA5338">
        <w:trPr>
          <w:trHeight w:val="255"/>
        </w:trPr>
        <w:tc>
          <w:tcPr>
            <w:tcW w:w="5535" w:type="dxa"/>
            <w:tcBorders>
              <w:top w:val="single" w:sz="4" w:space="0" w:color="auto"/>
            </w:tcBorders>
            <w:vAlign w:val="center"/>
          </w:tcPr>
          <w:p w:rsidR="003E4626" w:rsidRPr="00872852" w:rsidRDefault="003E4626" w:rsidP="00BA5338">
            <w:pPr>
              <w:rPr>
                <w:rFonts w:ascii="Tele-GroteskEEHal" w:hAnsi="Tele-GroteskEEHal" w:cs="Arial"/>
              </w:rPr>
            </w:pPr>
            <w:r w:rsidRPr="00872852">
              <w:rPr>
                <w:rFonts w:ascii="Tele-GroteskEEHal" w:hAnsi="Tele-GroteskEEHal" w:cs="Arial"/>
                <w:sz w:val="22"/>
                <w:szCs w:val="22"/>
              </w:rPr>
              <w:t xml:space="preserve">  1. Upisani kapital</w:t>
            </w:r>
          </w:p>
        </w:tc>
        <w:tc>
          <w:tcPr>
            <w:tcW w:w="1440" w:type="dxa"/>
            <w:tcBorders>
              <w:top w:val="single" w:sz="4" w:space="0" w:color="auto"/>
            </w:tcBorders>
            <w:noWrap/>
            <w:vAlign w:val="center"/>
          </w:tcPr>
          <w:p w:rsidR="003E4626" w:rsidRPr="00D31FD6" w:rsidRDefault="003E4626" w:rsidP="00BA5338">
            <w:pPr>
              <w:jc w:val="center"/>
              <w:rPr>
                <w:rFonts w:ascii="Tele-GroteskEEHal" w:hAnsi="Tele-GroteskEEHal" w:cs="Arial"/>
              </w:rPr>
            </w:pPr>
            <w:r>
              <w:rPr>
                <w:rFonts w:ascii="Tele-GroteskEEHal" w:hAnsi="Tele-GroteskEEHal" w:cs="Arial"/>
                <w:sz w:val="22"/>
                <w:szCs w:val="22"/>
              </w:rPr>
              <w:t>8.</w:t>
            </w:r>
            <w:r w:rsidRPr="00D31FD6">
              <w:rPr>
                <w:rFonts w:ascii="Tele-GroteskEEHal" w:hAnsi="Tele-GroteskEEHal" w:cs="Arial"/>
                <w:sz w:val="22"/>
                <w:szCs w:val="22"/>
              </w:rPr>
              <w:t>189</w:t>
            </w:r>
          </w:p>
        </w:tc>
        <w:tc>
          <w:tcPr>
            <w:tcW w:w="1440" w:type="dxa"/>
            <w:tcBorders>
              <w:top w:val="single" w:sz="4" w:space="0" w:color="auto"/>
            </w:tcBorders>
            <w:noWrap/>
            <w:vAlign w:val="center"/>
          </w:tcPr>
          <w:p w:rsidR="003E4626" w:rsidRPr="00D31FD6" w:rsidRDefault="003E4626" w:rsidP="00BA5338">
            <w:pPr>
              <w:jc w:val="center"/>
              <w:rPr>
                <w:rFonts w:ascii="Tele-GroteskEEHal" w:hAnsi="Tele-GroteskEEHal" w:cs="Arial"/>
              </w:rPr>
            </w:pPr>
            <w:r>
              <w:rPr>
                <w:rFonts w:ascii="Tele-GroteskEEHal" w:hAnsi="Tele-GroteskEEHal" w:cs="Arial"/>
                <w:sz w:val="22"/>
                <w:szCs w:val="22"/>
              </w:rPr>
              <w:t>8.</w:t>
            </w:r>
            <w:r w:rsidRPr="00D31FD6">
              <w:rPr>
                <w:rFonts w:ascii="Tele-GroteskEEHal" w:hAnsi="Tele-GroteskEEHal" w:cs="Arial"/>
                <w:sz w:val="22"/>
                <w:szCs w:val="22"/>
              </w:rPr>
              <w:t>189</w:t>
            </w:r>
          </w:p>
        </w:tc>
      </w:tr>
      <w:tr w:rsidR="003E4626" w:rsidRPr="00D31FD6" w:rsidTr="00BA5338">
        <w:trPr>
          <w:trHeight w:val="255"/>
        </w:trPr>
        <w:tc>
          <w:tcPr>
            <w:tcW w:w="5535" w:type="dxa"/>
            <w:vAlign w:val="center"/>
          </w:tcPr>
          <w:p w:rsidR="003E4626" w:rsidRPr="00872852" w:rsidRDefault="003E4626" w:rsidP="00BA5338">
            <w:pPr>
              <w:rPr>
                <w:rFonts w:ascii="Tele-GroteskEEHal" w:hAnsi="Tele-GroteskEEHal" w:cs="Arial"/>
              </w:rPr>
            </w:pPr>
            <w:r w:rsidRPr="00872852">
              <w:rPr>
                <w:rFonts w:ascii="Tele-GroteskEEHal" w:hAnsi="Tele-GroteskEEHal" w:cs="Arial"/>
                <w:sz w:val="22"/>
                <w:szCs w:val="22"/>
              </w:rPr>
              <w:t xml:space="preserve">  2. Rezerve iz dobiti</w:t>
            </w:r>
          </w:p>
        </w:tc>
        <w:tc>
          <w:tcPr>
            <w:tcW w:w="1440" w:type="dxa"/>
            <w:noWrap/>
            <w:vAlign w:val="center"/>
          </w:tcPr>
          <w:p w:rsidR="003E4626" w:rsidRPr="00D31FD6" w:rsidRDefault="003E4626" w:rsidP="00BA5338">
            <w:pPr>
              <w:jc w:val="center"/>
              <w:rPr>
                <w:rFonts w:ascii="Tele-GroteskEEHal" w:hAnsi="Tele-GroteskEEHal" w:cs="Arial"/>
              </w:rPr>
            </w:pPr>
            <w:r w:rsidRPr="00D31FD6">
              <w:rPr>
                <w:rFonts w:ascii="Tele-GroteskEEHal" w:hAnsi="Tele-GroteskEEHal" w:cs="Arial"/>
                <w:sz w:val="22"/>
                <w:szCs w:val="22"/>
              </w:rPr>
              <w:t>409</w:t>
            </w:r>
          </w:p>
        </w:tc>
        <w:tc>
          <w:tcPr>
            <w:tcW w:w="1440" w:type="dxa"/>
            <w:noWrap/>
            <w:vAlign w:val="center"/>
          </w:tcPr>
          <w:p w:rsidR="003E4626" w:rsidRPr="00D31FD6" w:rsidRDefault="003E4626" w:rsidP="00BA5338">
            <w:pPr>
              <w:jc w:val="center"/>
              <w:rPr>
                <w:rFonts w:ascii="Tele-GroteskEEHal" w:hAnsi="Tele-GroteskEEHal" w:cs="Arial"/>
              </w:rPr>
            </w:pPr>
            <w:r w:rsidRPr="00D31FD6">
              <w:rPr>
                <w:rFonts w:ascii="Tele-GroteskEEHal" w:hAnsi="Tele-GroteskEEHal" w:cs="Arial"/>
                <w:sz w:val="22"/>
                <w:szCs w:val="22"/>
              </w:rPr>
              <w:t>409</w:t>
            </w:r>
          </w:p>
        </w:tc>
      </w:tr>
      <w:tr w:rsidR="003E4626" w:rsidRPr="00D31FD6" w:rsidTr="00BA5338">
        <w:trPr>
          <w:trHeight w:val="255"/>
        </w:trPr>
        <w:tc>
          <w:tcPr>
            <w:tcW w:w="5535" w:type="dxa"/>
            <w:vAlign w:val="center"/>
          </w:tcPr>
          <w:p w:rsidR="003E4626" w:rsidRPr="00872852" w:rsidRDefault="003E4626" w:rsidP="00BA5338">
            <w:pPr>
              <w:rPr>
                <w:rFonts w:ascii="Tele-GroteskEEHal" w:hAnsi="Tele-GroteskEEHal" w:cs="Arial"/>
                <w:lang w:val="pl-PL"/>
              </w:rPr>
            </w:pPr>
            <w:r w:rsidRPr="00872852">
              <w:rPr>
                <w:rFonts w:ascii="Tele-GroteskEEHal" w:hAnsi="Tele-GroteskEEHal" w:cs="Arial"/>
                <w:sz w:val="22"/>
                <w:szCs w:val="22"/>
                <w:lang w:val="pl-PL"/>
              </w:rPr>
              <w:t xml:space="preserve">  3. Zadržana dobit ili preneseni gubitak</w:t>
            </w:r>
          </w:p>
        </w:tc>
        <w:tc>
          <w:tcPr>
            <w:tcW w:w="1440" w:type="dxa"/>
            <w:noWrap/>
            <w:vAlign w:val="center"/>
          </w:tcPr>
          <w:p w:rsidR="003E4626" w:rsidRPr="00D31FD6" w:rsidRDefault="003E4626" w:rsidP="00BA5338">
            <w:pPr>
              <w:jc w:val="center"/>
              <w:rPr>
                <w:rFonts w:ascii="Tele-GroteskEEHal" w:hAnsi="Tele-GroteskEEHal" w:cs="Arial"/>
              </w:rPr>
            </w:pPr>
            <w:r>
              <w:rPr>
                <w:rFonts w:ascii="Tele-GroteskEEHal" w:hAnsi="Tele-GroteskEEHal" w:cs="Arial"/>
                <w:sz w:val="22"/>
                <w:szCs w:val="22"/>
              </w:rPr>
              <w:t>627</w:t>
            </w:r>
          </w:p>
        </w:tc>
        <w:tc>
          <w:tcPr>
            <w:tcW w:w="1440" w:type="dxa"/>
            <w:noWrap/>
            <w:vAlign w:val="center"/>
          </w:tcPr>
          <w:p w:rsidR="003E4626" w:rsidRPr="00D31FD6" w:rsidRDefault="003E4626" w:rsidP="00BA5338">
            <w:pPr>
              <w:jc w:val="center"/>
              <w:rPr>
                <w:rFonts w:ascii="Tele-GroteskEEHal" w:hAnsi="Tele-GroteskEEHal" w:cs="Arial"/>
              </w:rPr>
            </w:pPr>
            <w:r>
              <w:rPr>
                <w:rFonts w:ascii="Tele-GroteskEEHal" w:hAnsi="Tele-GroteskEEHal" w:cs="Arial"/>
                <w:sz w:val="22"/>
                <w:szCs w:val="22"/>
              </w:rPr>
              <w:t>598</w:t>
            </w:r>
          </w:p>
        </w:tc>
      </w:tr>
      <w:tr w:rsidR="003E4626" w:rsidRPr="00D31FD6" w:rsidTr="00BA5338">
        <w:trPr>
          <w:trHeight w:val="255"/>
        </w:trPr>
        <w:tc>
          <w:tcPr>
            <w:tcW w:w="5535" w:type="dxa"/>
            <w:vAlign w:val="center"/>
          </w:tcPr>
          <w:p w:rsidR="003E4626" w:rsidRPr="00872852" w:rsidRDefault="003E4626" w:rsidP="00BA5338">
            <w:pPr>
              <w:rPr>
                <w:rFonts w:ascii="Tele-GroteskEEHal" w:hAnsi="Tele-GroteskEEHal" w:cs="Arial"/>
              </w:rPr>
            </w:pPr>
            <w:r w:rsidRPr="00872852">
              <w:rPr>
                <w:rFonts w:ascii="Tele-GroteskEEHal" w:hAnsi="Tele-GroteskEEHal" w:cs="Arial"/>
                <w:sz w:val="22"/>
                <w:szCs w:val="22"/>
              </w:rPr>
              <w:t xml:space="preserve">  4. Dobit ili gubitak tekuće godine</w:t>
            </w:r>
          </w:p>
        </w:tc>
        <w:tc>
          <w:tcPr>
            <w:tcW w:w="1440" w:type="dxa"/>
            <w:noWrap/>
            <w:vAlign w:val="center"/>
          </w:tcPr>
          <w:p w:rsidR="003E4626" w:rsidRPr="00D31FD6" w:rsidRDefault="003E4626" w:rsidP="00BA5338">
            <w:pPr>
              <w:jc w:val="center"/>
              <w:rPr>
                <w:rFonts w:ascii="Tele-GroteskEEHal" w:hAnsi="Tele-GroteskEEHal" w:cs="Arial"/>
              </w:rPr>
            </w:pPr>
            <w:r>
              <w:rPr>
                <w:rFonts w:ascii="Tele-GroteskEEHal" w:hAnsi="Tele-GroteskEEHal" w:cs="Arial"/>
                <w:sz w:val="22"/>
                <w:szCs w:val="22"/>
              </w:rPr>
              <w:t>1.</w:t>
            </w:r>
            <w:r w:rsidRPr="00D31FD6">
              <w:rPr>
                <w:rFonts w:ascii="Tele-GroteskEEHal" w:hAnsi="Tele-GroteskEEHal" w:cs="Arial"/>
                <w:sz w:val="22"/>
                <w:szCs w:val="22"/>
              </w:rPr>
              <w:t>8</w:t>
            </w:r>
            <w:r>
              <w:rPr>
                <w:rFonts w:ascii="Tele-GroteskEEHal" w:hAnsi="Tele-GroteskEEHal" w:cs="Arial"/>
                <w:sz w:val="22"/>
                <w:szCs w:val="22"/>
              </w:rPr>
              <w:t>31</w:t>
            </w:r>
          </w:p>
        </w:tc>
        <w:tc>
          <w:tcPr>
            <w:tcW w:w="1440" w:type="dxa"/>
            <w:noWrap/>
            <w:vAlign w:val="center"/>
          </w:tcPr>
          <w:p w:rsidR="003E4626" w:rsidRPr="00D31FD6" w:rsidRDefault="003E4626" w:rsidP="00BA5338">
            <w:pPr>
              <w:jc w:val="center"/>
              <w:rPr>
                <w:rFonts w:ascii="Tele-GroteskEEHal" w:hAnsi="Tele-GroteskEEHal" w:cs="Arial"/>
              </w:rPr>
            </w:pPr>
            <w:r>
              <w:rPr>
                <w:rFonts w:ascii="Tele-GroteskEEHal" w:hAnsi="Tele-GroteskEEHal" w:cs="Arial"/>
                <w:sz w:val="22"/>
                <w:szCs w:val="22"/>
              </w:rPr>
              <w:t>1.483</w:t>
            </w:r>
          </w:p>
        </w:tc>
      </w:tr>
      <w:tr w:rsidR="003E4626" w:rsidRPr="00D31FD6" w:rsidTr="00BA5338">
        <w:trPr>
          <w:trHeight w:val="255"/>
        </w:trPr>
        <w:tc>
          <w:tcPr>
            <w:tcW w:w="5535" w:type="dxa"/>
            <w:vAlign w:val="center"/>
          </w:tcPr>
          <w:p w:rsidR="003E4626" w:rsidRPr="00872852" w:rsidRDefault="003E4626" w:rsidP="00BA5338">
            <w:pPr>
              <w:rPr>
                <w:rFonts w:ascii="Tele-GroteskEEHal" w:hAnsi="Tele-GroteskEEHal" w:cs="Arial"/>
              </w:rPr>
            </w:pPr>
            <w:r w:rsidRPr="00872852">
              <w:rPr>
                <w:rFonts w:ascii="Tele-GroteskEEHal" w:hAnsi="Tele-GroteskEEHal" w:cs="Arial"/>
                <w:sz w:val="22"/>
                <w:szCs w:val="22"/>
              </w:rPr>
              <w:t xml:space="preserve">  5. Revalorizacija financijske imovine raspoložive za prodaju</w:t>
            </w:r>
          </w:p>
        </w:tc>
        <w:tc>
          <w:tcPr>
            <w:tcW w:w="1440" w:type="dxa"/>
            <w:noWrap/>
            <w:vAlign w:val="center"/>
          </w:tcPr>
          <w:p w:rsidR="003E4626" w:rsidRPr="00D31FD6" w:rsidRDefault="003E4626" w:rsidP="00BA5338">
            <w:pPr>
              <w:jc w:val="center"/>
              <w:rPr>
                <w:rFonts w:ascii="Tele-GroteskEEHal" w:hAnsi="Tele-GroteskEEHal" w:cs="Arial"/>
              </w:rPr>
            </w:pPr>
            <w:r w:rsidRPr="00D31FD6">
              <w:rPr>
                <w:rFonts w:ascii="Tele-GroteskEEHal" w:hAnsi="Tele-GroteskEEHal" w:cs="Arial"/>
                <w:sz w:val="22"/>
                <w:szCs w:val="22"/>
              </w:rPr>
              <w:t>-2</w:t>
            </w:r>
          </w:p>
        </w:tc>
        <w:tc>
          <w:tcPr>
            <w:tcW w:w="1440" w:type="dxa"/>
            <w:noWrap/>
            <w:vAlign w:val="center"/>
          </w:tcPr>
          <w:p w:rsidR="003E4626" w:rsidRPr="00D31FD6" w:rsidRDefault="003E4626" w:rsidP="00BA5338">
            <w:pPr>
              <w:jc w:val="center"/>
              <w:rPr>
                <w:rFonts w:ascii="Tele-GroteskEEHal" w:hAnsi="Tele-GroteskEEHal" w:cs="Arial"/>
              </w:rPr>
            </w:pPr>
            <w:r w:rsidRPr="00D31FD6">
              <w:rPr>
                <w:rFonts w:ascii="Tele-GroteskEEHal" w:hAnsi="Tele-GroteskEEHal" w:cs="Arial"/>
                <w:sz w:val="22"/>
                <w:szCs w:val="22"/>
              </w:rPr>
              <w:t>-2</w:t>
            </w:r>
          </w:p>
        </w:tc>
      </w:tr>
      <w:tr w:rsidR="003E4626" w:rsidRPr="00D31FD6" w:rsidTr="00BA5338">
        <w:trPr>
          <w:trHeight w:val="255"/>
        </w:trPr>
        <w:tc>
          <w:tcPr>
            <w:tcW w:w="5535" w:type="dxa"/>
            <w:tcBorders>
              <w:bottom w:val="single" w:sz="4" w:space="0" w:color="auto"/>
            </w:tcBorders>
            <w:vAlign w:val="center"/>
          </w:tcPr>
          <w:p w:rsidR="003E4626" w:rsidRPr="00872852" w:rsidRDefault="003E4626" w:rsidP="00BA5338">
            <w:pPr>
              <w:rPr>
                <w:rFonts w:ascii="Tele-GroteskEEHal" w:hAnsi="Tele-GroteskEEHal" w:cs="Arial"/>
                <w:lang w:val="pl-PL"/>
              </w:rPr>
            </w:pPr>
            <w:r w:rsidRPr="00872852">
              <w:rPr>
                <w:rFonts w:ascii="Tele-GroteskEEHal" w:hAnsi="Tele-GroteskEEHal" w:cs="Arial"/>
                <w:sz w:val="22"/>
                <w:szCs w:val="22"/>
                <w:lang w:val="pl-PL"/>
              </w:rPr>
              <w:t xml:space="preserve">  6. Ostale promjene kapitala</w:t>
            </w:r>
          </w:p>
        </w:tc>
        <w:tc>
          <w:tcPr>
            <w:tcW w:w="1440" w:type="dxa"/>
            <w:tcBorders>
              <w:bottom w:val="single" w:sz="4" w:space="0" w:color="auto"/>
            </w:tcBorders>
            <w:noWrap/>
            <w:vAlign w:val="center"/>
          </w:tcPr>
          <w:p w:rsidR="003E4626" w:rsidRPr="00D31FD6" w:rsidRDefault="003E4626" w:rsidP="00BA5338">
            <w:pPr>
              <w:jc w:val="center"/>
              <w:rPr>
                <w:rFonts w:ascii="Tele-GroteskEEHal" w:hAnsi="Tele-GroteskEEHal" w:cs="Arial"/>
              </w:rPr>
            </w:pPr>
            <w:r w:rsidRPr="00D31FD6">
              <w:rPr>
                <w:rFonts w:ascii="Tele-GroteskEEHal" w:hAnsi="Tele-GroteskEEHal" w:cs="Arial"/>
                <w:sz w:val="22"/>
                <w:szCs w:val="22"/>
              </w:rPr>
              <w:t>0</w:t>
            </w:r>
          </w:p>
        </w:tc>
        <w:tc>
          <w:tcPr>
            <w:tcW w:w="1440" w:type="dxa"/>
            <w:tcBorders>
              <w:bottom w:val="single" w:sz="4" w:space="0" w:color="auto"/>
            </w:tcBorders>
            <w:noWrap/>
            <w:vAlign w:val="center"/>
          </w:tcPr>
          <w:p w:rsidR="003E4626" w:rsidRPr="00D31FD6" w:rsidRDefault="003E4626" w:rsidP="00BA5338">
            <w:pPr>
              <w:jc w:val="center"/>
              <w:rPr>
                <w:rFonts w:ascii="Tele-GroteskEEHal" w:hAnsi="Tele-GroteskEEHal" w:cs="Arial"/>
              </w:rPr>
            </w:pPr>
            <w:r w:rsidRPr="00D31FD6">
              <w:rPr>
                <w:rFonts w:ascii="Tele-GroteskEEHal" w:hAnsi="Tele-GroteskEEHal" w:cs="Arial"/>
                <w:sz w:val="22"/>
                <w:szCs w:val="22"/>
              </w:rPr>
              <w:t>0</w:t>
            </w:r>
          </w:p>
        </w:tc>
      </w:tr>
      <w:tr w:rsidR="003E4626" w:rsidRPr="00AC243F" w:rsidTr="00BA5338">
        <w:trPr>
          <w:trHeight w:val="255"/>
        </w:trPr>
        <w:tc>
          <w:tcPr>
            <w:tcW w:w="5535" w:type="dxa"/>
            <w:tcBorders>
              <w:top w:val="single" w:sz="4" w:space="0" w:color="auto"/>
              <w:bottom w:val="single" w:sz="4" w:space="0" w:color="auto"/>
            </w:tcBorders>
            <w:vAlign w:val="center"/>
          </w:tcPr>
          <w:p w:rsidR="003E4626" w:rsidRPr="00872852" w:rsidRDefault="003E4626" w:rsidP="00BA5338">
            <w:pPr>
              <w:rPr>
                <w:rFonts w:ascii="Tele-GroteskEEHal" w:hAnsi="Tele-GroteskEEHal" w:cs="Arial"/>
                <w:b/>
                <w:bCs/>
                <w:lang w:val="pl-PL"/>
              </w:rPr>
            </w:pPr>
            <w:r w:rsidRPr="00872852">
              <w:rPr>
                <w:rFonts w:ascii="Tele-GroteskEEHal" w:hAnsi="Tele-GroteskEEHal" w:cs="Arial"/>
                <w:b/>
                <w:bCs/>
                <w:sz w:val="22"/>
                <w:szCs w:val="22"/>
                <w:lang w:val="pl-PL"/>
              </w:rPr>
              <w:t xml:space="preserve">7. Ukupno </w:t>
            </w:r>
            <w:r>
              <w:rPr>
                <w:rFonts w:ascii="Tele-GroteskEEHal" w:hAnsi="Tele-GroteskEEHal" w:cs="Arial"/>
                <w:b/>
                <w:bCs/>
                <w:sz w:val="22"/>
                <w:szCs w:val="22"/>
                <w:lang w:val="pl-PL"/>
              </w:rPr>
              <w:t>kapital i rezerve</w:t>
            </w:r>
          </w:p>
        </w:tc>
        <w:tc>
          <w:tcPr>
            <w:tcW w:w="1440" w:type="dxa"/>
            <w:tcBorders>
              <w:top w:val="single" w:sz="4" w:space="0" w:color="auto"/>
              <w:bottom w:val="single" w:sz="4" w:space="0" w:color="auto"/>
            </w:tcBorders>
            <w:noWrap/>
            <w:vAlign w:val="center"/>
          </w:tcPr>
          <w:p w:rsidR="003E4626" w:rsidRPr="00AC243F" w:rsidRDefault="003E4626" w:rsidP="00BA5338">
            <w:pPr>
              <w:jc w:val="center"/>
              <w:rPr>
                <w:rFonts w:ascii="Tele-GroteskEEHal" w:hAnsi="Tele-GroteskEEHal" w:cs="Arial"/>
              </w:rPr>
            </w:pPr>
            <w:r w:rsidRPr="00AC243F">
              <w:rPr>
                <w:rFonts w:ascii="Tele-GroteskEEHal" w:hAnsi="Tele-GroteskEEHal" w:cs="Arial"/>
                <w:sz w:val="22"/>
                <w:szCs w:val="22"/>
              </w:rPr>
              <w:t>11</w:t>
            </w:r>
            <w:r>
              <w:rPr>
                <w:rFonts w:ascii="Tele-GroteskEEHal" w:hAnsi="Tele-GroteskEEHal" w:cs="Arial"/>
                <w:sz w:val="22"/>
                <w:szCs w:val="22"/>
              </w:rPr>
              <w:t>.</w:t>
            </w:r>
            <w:r w:rsidRPr="00AC243F">
              <w:rPr>
                <w:rFonts w:ascii="Tele-GroteskEEHal" w:hAnsi="Tele-GroteskEEHal" w:cs="Arial"/>
                <w:sz w:val="22"/>
                <w:szCs w:val="22"/>
              </w:rPr>
              <w:t>054</w:t>
            </w:r>
          </w:p>
        </w:tc>
        <w:tc>
          <w:tcPr>
            <w:tcW w:w="1440" w:type="dxa"/>
            <w:tcBorders>
              <w:top w:val="single" w:sz="4" w:space="0" w:color="auto"/>
              <w:bottom w:val="single" w:sz="4" w:space="0" w:color="auto"/>
            </w:tcBorders>
            <w:noWrap/>
            <w:vAlign w:val="center"/>
          </w:tcPr>
          <w:p w:rsidR="003E4626" w:rsidRPr="00AC243F" w:rsidRDefault="003E4626" w:rsidP="00BA5338">
            <w:pPr>
              <w:jc w:val="center"/>
              <w:rPr>
                <w:rFonts w:ascii="Tele-GroteskEEHal" w:hAnsi="Tele-GroteskEEHal" w:cs="Arial"/>
              </w:rPr>
            </w:pPr>
            <w:r w:rsidRPr="00AC243F">
              <w:rPr>
                <w:rFonts w:ascii="Tele-GroteskEEHal" w:hAnsi="Tele-GroteskEEHal" w:cs="Arial"/>
                <w:sz w:val="22"/>
                <w:szCs w:val="22"/>
              </w:rPr>
              <w:t>10</w:t>
            </w:r>
            <w:r>
              <w:rPr>
                <w:rFonts w:ascii="Tele-GroteskEEHal" w:hAnsi="Tele-GroteskEEHal" w:cs="Arial"/>
                <w:sz w:val="22"/>
                <w:szCs w:val="22"/>
              </w:rPr>
              <w:t>.677</w:t>
            </w:r>
          </w:p>
        </w:tc>
      </w:tr>
    </w:tbl>
    <w:p w:rsidR="003E4626" w:rsidRPr="00BA5338" w:rsidRDefault="003E4626" w:rsidP="00BA5338">
      <w:pPr>
        <w:pStyle w:val="T2"/>
        <w:spacing w:after="0"/>
        <w:rPr>
          <w:b/>
          <w:sz w:val="24"/>
          <w:szCs w:val="24"/>
          <w:lang w:val="hr-HR"/>
        </w:rPr>
      </w:pPr>
      <w:r w:rsidRPr="00BA5338">
        <w:rPr>
          <w:b/>
          <w:sz w:val="24"/>
          <w:szCs w:val="24"/>
          <w:lang w:val="hr-HR"/>
        </w:rPr>
        <w:t>Bilješke uz sažeta konsolidirana financijska izvješća</w:t>
      </w:r>
    </w:p>
    <w:p w:rsidR="003E4626" w:rsidRPr="00BA5338" w:rsidRDefault="003E4626" w:rsidP="00BA5338">
      <w:pPr>
        <w:pStyle w:val="T2"/>
        <w:spacing w:after="0"/>
        <w:rPr>
          <w:b/>
          <w:sz w:val="24"/>
          <w:szCs w:val="24"/>
          <w:lang w:val="hr-HR"/>
        </w:rPr>
      </w:pPr>
      <w:r w:rsidRPr="00BA5338">
        <w:rPr>
          <w:b/>
          <w:sz w:val="24"/>
          <w:szCs w:val="24"/>
          <w:lang w:val="hr-HR"/>
        </w:rPr>
        <w:t>Za razdoblje završeno 30. rujna 2011. godine</w:t>
      </w:r>
    </w:p>
    <w:p w:rsidR="003E4626" w:rsidRPr="003A46AA" w:rsidRDefault="003E4626" w:rsidP="00BA5338">
      <w:pPr>
        <w:pStyle w:val="T2"/>
        <w:spacing w:after="0"/>
        <w:rPr>
          <w:szCs w:val="19"/>
          <w:lang w:val="hr-HR"/>
        </w:rPr>
      </w:pPr>
    </w:p>
    <w:p w:rsidR="003E4626" w:rsidRPr="003A46AA" w:rsidRDefault="003E4626" w:rsidP="00BA5338">
      <w:pPr>
        <w:pStyle w:val="Numbered2"/>
        <w:numPr>
          <w:ilvl w:val="0"/>
          <w:numId w:val="0"/>
        </w:numPr>
        <w:rPr>
          <w:b/>
          <w:i w:val="0"/>
        </w:rPr>
      </w:pPr>
      <w:r w:rsidRPr="003A46AA">
        <w:rPr>
          <w:b/>
          <w:i w:val="0"/>
        </w:rPr>
        <w:t>Osnova izvješćivanja</w:t>
      </w:r>
    </w:p>
    <w:p w:rsidR="003E4626" w:rsidRPr="003A46AA" w:rsidRDefault="003E4626" w:rsidP="00BA5338">
      <w:pPr>
        <w:pStyle w:val="T2"/>
        <w:spacing w:after="0"/>
        <w:rPr>
          <w:szCs w:val="19"/>
          <w:lang w:val="hr-HR"/>
        </w:rPr>
      </w:pPr>
      <w:r w:rsidRPr="003A46AA">
        <w:rPr>
          <w:lang w:val="hr-HR"/>
        </w:rPr>
        <w:t>Sažeta konsolidirana fina</w:t>
      </w:r>
      <w:r>
        <w:rPr>
          <w:lang w:val="hr-HR"/>
        </w:rPr>
        <w:t>ncijska izvješća za</w:t>
      </w:r>
      <w:r w:rsidRPr="003A46AA">
        <w:rPr>
          <w:lang w:val="hr-HR"/>
        </w:rPr>
        <w:t xml:space="preserve"> razdoblje završeno 3</w:t>
      </w:r>
      <w:r>
        <w:rPr>
          <w:lang w:val="hr-HR"/>
        </w:rPr>
        <w:t>0</w:t>
      </w:r>
      <w:r w:rsidRPr="003A46AA">
        <w:rPr>
          <w:lang w:val="hr-HR"/>
        </w:rPr>
        <w:t xml:space="preserve">. </w:t>
      </w:r>
      <w:r>
        <w:rPr>
          <w:lang w:val="hr-HR"/>
        </w:rPr>
        <w:t>rujna</w:t>
      </w:r>
      <w:r w:rsidRPr="003A46AA">
        <w:rPr>
          <w:lang w:val="hr-HR"/>
        </w:rPr>
        <w:t xml:space="preserve"> </w:t>
      </w:r>
      <w:r>
        <w:rPr>
          <w:lang w:val="hr-HR"/>
        </w:rPr>
        <w:t>2011</w:t>
      </w:r>
      <w:r w:rsidRPr="003A46AA">
        <w:rPr>
          <w:lang w:val="hr-HR"/>
        </w:rPr>
        <w:t>. godine pripremljena su na temelju računovodstvenih politika koje su u skladu sa Međunarodnim standardima financijskog izvješćivanja.</w:t>
      </w:r>
    </w:p>
    <w:p w:rsidR="003E4626" w:rsidRPr="003A46AA" w:rsidRDefault="003E4626" w:rsidP="00BA5338">
      <w:pPr>
        <w:pStyle w:val="T2"/>
        <w:spacing w:after="0"/>
        <w:rPr>
          <w:szCs w:val="19"/>
          <w:highlight w:val="yellow"/>
          <w:lang w:val="hr-HR"/>
        </w:rPr>
      </w:pPr>
    </w:p>
    <w:p w:rsidR="003E4626" w:rsidRPr="003A46AA" w:rsidRDefault="003E4626" w:rsidP="00BA5338">
      <w:pPr>
        <w:pStyle w:val="T2"/>
        <w:spacing w:after="0"/>
        <w:rPr>
          <w:b/>
          <w:szCs w:val="19"/>
          <w:lang w:val="hr-HR"/>
        </w:rPr>
      </w:pPr>
      <w:r w:rsidRPr="003A46AA">
        <w:rPr>
          <w:b/>
          <w:szCs w:val="19"/>
          <w:lang w:val="hr-HR"/>
        </w:rPr>
        <w:t>Računovodstvene politike</w:t>
      </w:r>
    </w:p>
    <w:p w:rsidR="003E4626" w:rsidRPr="003A46AA" w:rsidRDefault="003E4626" w:rsidP="00BA5338">
      <w:pPr>
        <w:pStyle w:val="T10"/>
        <w:rPr>
          <w:szCs w:val="19"/>
          <w:lang w:val="hr-HR"/>
        </w:rPr>
      </w:pPr>
      <w:r w:rsidRPr="003A46AA">
        <w:rPr>
          <w:szCs w:val="19"/>
          <w:lang w:val="hr-HR"/>
        </w:rPr>
        <w:t>Konsolidirana financijska izvješća su sastavljena prema načelu povijesnih troškova, uz izuzetke financijske imovine raspoložive za prodaju koja se iskazuje po fer vrijednosti.</w:t>
      </w:r>
    </w:p>
    <w:p w:rsidR="003E4626" w:rsidRDefault="003E4626" w:rsidP="00BA5338">
      <w:pPr>
        <w:pStyle w:val="T10"/>
        <w:rPr>
          <w:snapToGrid w:val="0"/>
          <w:szCs w:val="19"/>
          <w:lang w:val="hr-HR"/>
        </w:rPr>
      </w:pPr>
      <w:r w:rsidRPr="003A46AA">
        <w:rPr>
          <w:snapToGrid w:val="0"/>
          <w:szCs w:val="19"/>
          <w:lang w:val="hr-HR"/>
        </w:rPr>
        <w:t>Sažeta konsolidirana financijska izvješća pripremljena su temeljem istih računovodstvenih politika, prikaza i metoda izračuna koji su se koristili prilikom pripreme godišnjih konsolidiranih financijskih i</w:t>
      </w:r>
      <w:r>
        <w:rPr>
          <w:snapToGrid w:val="0"/>
          <w:szCs w:val="19"/>
          <w:lang w:val="hr-HR"/>
        </w:rPr>
        <w:t>zvješća na 31. prosinac 2010</w:t>
      </w:r>
      <w:r w:rsidRPr="003A46AA">
        <w:rPr>
          <w:snapToGrid w:val="0"/>
          <w:szCs w:val="19"/>
          <w:lang w:val="hr-HR"/>
        </w:rPr>
        <w:t>. godine.</w:t>
      </w:r>
    </w:p>
    <w:p w:rsidR="003E4626" w:rsidRDefault="003E4626" w:rsidP="00BA5338">
      <w:pPr>
        <w:pStyle w:val="T2"/>
        <w:spacing w:after="0"/>
        <w:rPr>
          <w:b/>
          <w:szCs w:val="19"/>
          <w:lang w:val="hr-HR"/>
        </w:rPr>
      </w:pPr>
    </w:p>
    <w:p w:rsidR="003E4626" w:rsidRPr="00D865D7" w:rsidRDefault="003E4626" w:rsidP="00BA5338">
      <w:pPr>
        <w:pStyle w:val="T2"/>
        <w:spacing w:after="0"/>
        <w:rPr>
          <w:b/>
          <w:szCs w:val="19"/>
          <w:lang w:val="hr-HR"/>
        </w:rPr>
      </w:pPr>
      <w:r w:rsidRPr="00D865D7">
        <w:rPr>
          <w:b/>
          <w:szCs w:val="19"/>
          <w:lang w:val="hr-HR"/>
        </w:rPr>
        <w:t>Dividenda</w:t>
      </w:r>
    </w:p>
    <w:p w:rsidR="003E4626" w:rsidRPr="008866BE" w:rsidRDefault="003E4626" w:rsidP="00BA5338">
      <w:pPr>
        <w:pStyle w:val="T10"/>
        <w:spacing w:before="120"/>
        <w:rPr>
          <w:lang w:val="hr-HR"/>
        </w:rPr>
      </w:pPr>
      <w:r>
        <w:rPr>
          <w:lang w:val="hr-HR"/>
        </w:rPr>
        <w:t>23</w:t>
      </w:r>
      <w:r w:rsidRPr="00CA46BC">
        <w:rPr>
          <w:lang w:val="hr-HR"/>
        </w:rPr>
        <w:t xml:space="preserve">. </w:t>
      </w:r>
      <w:r w:rsidRPr="006537FF">
        <w:rPr>
          <w:lang w:val="es-ES"/>
        </w:rPr>
        <w:t>svibnja</w:t>
      </w:r>
      <w:r>
        <w:rPr>
          <w:lang w:val="hr-HR"/>
        </w:rPr>
        <w:t xml:space="preserve"> 2011</w:t>
      </w:r>
      <w:r w:rsidRPr="008866BE">
        <w:rPr>
          <w:lang w:val="hr-HR"/>
        </w:rPr>
        <w:t xml:space="preserve">. </w:t>
      </w:r>
      <w:r w:rsidRPr="006537FF">
        <w:rPr>
          <w:lang w:val="es-ES"/>
        </w:rPr>
        <w:t>godine</w:t>
      </w:r>
      <w:r w:rsidRPr="008866BE">
        <w:rPr>
          <w:lang w:val="hr-HR"/>
        </w:rPr>
        <w:t xml:space="preserve"> </w:t>
      </w:r>
      <w:r w:rsidRPr="006537FF">
        <w:rPr>
          <w:lang w:val="es-ES"/>
        </w:rPr>
        <w:t>ispla</w:t>
      </w:r>
      <w:r w:rsidRPr="00ED7A0C">
        <w:rPr>
          <w:lang w:val="hr-HR"/>
        </w:rPr>
        <w:t>ć</w:t>
      </w:r>
      <w:r w:rsidRPr="006537FF">
        <w:rPr>
          <w:lang w:val="es-ES"/>
        </w:rPr>
        <w:t>ena</w:t>
      </w:r>
      <w:r w:rsidRPr="00ED7A0C">
        <w:rPr>
          <w:lang w:val="hr-HR"/>
        </w:rPr>
        <w:t xml:space="preserve"> </w:t>
      </w:r>
      <w:r w:rsidRPr="006537FF">
        <w:rPr>
          <w:lang w:val="es-ES"/>
        </w:rPr>
        <w:t>je</w:t>
      </w:r>
      <w:r w:rsidRPr="00ED7A0C">
        <w:rPr>
          <w:lang w:val="hr-HR"/>
        </w:rPr>
        <w:t xml:space="preserve"> </w:t>
      </w:r>
      <w:r w:rsidRPr="006537FF">
        <w:rPr>
          <w:lang w:val="es-ES"/>
        </w:rPr>
        <w:t>dividenda</w:t>
      </w:r>
      <w:r w:rsidRPr="008866BE">
        <w:rPr>
          <w:lang w:val="hr-HR"/>
        </w:rPr>
        <w:t xml:space="preserve"> </w:t>
      </w:r>
      <w:r w:rsidRPr="006537FF">
        <w:rPr>
          <w:lang w:val="es-ES"/>
        </w:rPr>
        <w:t>u</w:t>
      </w:r>
      <w:r w:rsidRPr="008866BE">
        <w:rPr>
          <w:lang w:val="hr-HR"/>
        </w:rPr>
        <w:t xml:space="preserve"> </w:t>
      </w:r>
      <w:r w:rsidRPr="006537FF">
        <w:rPr>
          <w:lang w:val="es-ES"/>
        </w:rPr>
        <w:t>iznosu</w:t>
      </w:r>
      <w:r w:rsidRPr="008866BE">
        <w:rPr>
          <w:lang w:val="hr-HR"/>
        </w:rPr>
        <w:t xml:space="preserve"> </w:t>
      </w:r>
      <w:r w:rsidRPr="006537FF">
        <w:rPr>
          <w:lang w:val="es-ES"/>
        </w:rPr>
        <w:t>od</w:t>
      </w:r>
      <w:r>
        <w:rPr>
          <w:lang w:val="hr-HR"/>
        </w:rPr>
        <w:t xml:space="preserve"> 1.864</w:t>
      </w:r>
      <w:r w:rsidRPr="008866BE">
        <w:rPr>
          <w:lang w:val="hr-HR"/>
        </w:rPr>
        <w:t xml:space="preserve"> </w:t>
      </w:r>
      <w:r w:rsidRPr="006537FF">
        <w:rPr>
          <w:lang w:val="es-ES"/>
        </w:rPr>
        <w:t>milijuna</w:t>
      </w:r>
      <w:r w:rsidRPr="008866BE">
        <w:rPr>
          <w:lang w:val="hr-HR"/>
        </w:rPr>
        <w:t xml:space="preserve"> </w:t>
      </w:r>
      <w:r w:rsidRPr="006537FF">
        <w:rPr>
          <w:lang w:val="es-ES"/>
        </w:rPr>
        <w:t>kuna</w:t>
      </w:r>
      <w:r>
        <w:rPr>
          <w:lang w:val="hr-HR"/>
        </w:rPr>
        <w:t xml:space="preserve"> (22,76</w:t>
      </w:r>
      <w:r w:rsidRPr="008866BE">
        <w:rPr>
          <w:lang w:val="hr-HR"/>
        </w:rPr>
        <w:t xml:space="preserve"> </w:t>
      </w:r>
      <w:r w:rsidRPr="006537FF">
        <w:rPr>
          <w:lang w:val="es-ES"/>
        </w:rPr>
        <w:t>kuna</w:t>
      </w:r>
      <w:r w:rsidRPr="008866BE">
        <w:rPr>
          <w:lang w:val="hr-HR"/>
        </w:rPr>
        <w:t xml:space="preserve"> </w:t>
      </w:r>
      <w:r w:rsidRPr="006537FF">
        <w:rPr>
          <w:lang w:val="es-ES"/>
        </w:rPr>
        <w:t>po</w:t>
      </w:r>
      <w:r w:rsidRPr="008866BE">
        <w:rPr>
          <w:lang w:val="hr-HR"/>
        </w:rPr>
        <w:t xml:space="preserve"> </w:t>
      </w:r>
      <w:r w:rsidRPr="006537FF">
        <w:rPr>
          <w:lang w:val="es-ES"/>
        </w:rPr>
        <w:t>dionici</w:t>
      </w:r>
      <w:r w:rsidRPr="008866BE">
        <w:rPr>
          <w:lang w:val="hr-HR"/>
        </w:rPr>
        <w:t>).</w:t>
      </w:r>
    </w:p>
    <w:p w:rsidR="003E4626" w:rsidRDefault="003E4626" w:rsidP="00BA5338">
      <w:pPr>
        <w:pStyle w:val="T10"/>
        <w:rPr>
          <w:snapToGrid w:val="0"/>
          <w:szCs w:val="19"/>
          <w:lang w:val="hr-HR"/>
        </w:rPr>
      </w:pPr>
    </w:p>
    <w:p w:rsidR="003E4626" w:rsidRPr="00080FAF" w:rsidRDefault="003E4626" w:rsidP="00BA5338">
      <w:pPr>
        <w:rPr>
          <w:rFonts w:ascii="Arial" w:hAnsi="Arial" w:cs="Arial"/>
          <w:b/>
          <w:sz w:val="20"/>
          <w:szCs w:val="20"/>
        </w:rPr>
      </w:pPr>
      <w:r>
        <w:rPr>
          <w:rFonts w:ascii="Arial" w:hAnsi="Arial" w:cs="Arial"/>
          <w:b/>
          <w:sz w:val="20"/>
          <w:szCs w:val="20"/>
        </w:rPr>
        <w:t>Podaci</w:t>
      </w:r>
      <w:r w:rsidRPr="00080FAF">
        <w:rPr>
          <w:rFonts w:ascii="Arial" w:hAnsi="Arial" w:cs="Arial"/>
          <w:b/>
          <w:sz w:val="20"/>
          <w:szCs w:val="20"/>
        </w:rPr>
        <w:t xml:space="preserve"> </w:t>
      </w:r>
      <w:r>
        <w:rPr>
          <w:rFonts w:ascii="Arial" w:hAnsi="Arial" w:cs="Arial"/>
          <w:b/>
          <w:sz w:val="20"/>
          <w:szCs w:val="20"/>
        </w:rPr>
        <w:t>o</w:t>
      </w:r>
      <w:r w:rsidRPr="00080FAF">
        <w:rPr>
          <w:rFonts w:ascii="Arial" w:hAnsi="Arial" w:cs="Arial"/>
          <w:b/>
          <w:sz w:val="20"/>
          <w:szCs w:val="20"/>
        </w:rPr>
        <w:t xml:space="preserve"> </w:t>
      </w:r>
      <w:r>
        <w:rPr>
          <w:rFonts w:ascii="Arial" w:hAnsi="Arial" w:cs="Arial"/>
          <w:b/>
          <w:sz w:val="20"/>
          <w:szCs w:val="20"/>
        </w:rPr>
        <w:t>segmentima</w:t>
      </w:r>
    </w:p>
    <w:p w:rsidR="003E4626" w:rsidRPr="00080FAF" w:rsidRDefault="003E4626" w:rsidP="00BA5338">
      <w:pPr>
        <w:rPr>
          <w:rFonts w:ascii="Arial" w:hAnsi="Arial" w:cs="Arial"/>
          <w:b/>
          <w:sz w:val="20"/>
          <w:szCs w:val="20"/>
        </w:rPr>
      </w:pPr>
    </w:p>
    <w:p w:rsidR="003E4626" w:rsidRPr="00233061" w:rsidRDefault="003E4626" w:rsidP="00BA5338">
      <w:pPr>
        <w:pStyle w:val="T10"/>
        <w:rPr>
          <w:snapToGrid w:val="0"/>
          <w:szCs w:val="19"/>
          <w:lang w:val="es-ES"/>
        </w:rPr>
      </w:pPr>
      <w:r w:rsidRPr="00080FAF">
        <w:rPr>
          <w:snapToGrid w:val="0"/>
          <w:szCs w:val="19"/>
          <w:lang w:val="hr-HR"/>
        </w:rPr>
        <w:t xml:space="preserve">1. </w:t>
      </w:r>
      <w:r>
        <w:rPr>
          <w:snapToGrid w:val="0"/>
          <w:szCs w:val="19"/>
        </w:rPr>
        <w:t>sije</w:t>
      </w:r>
      <w:r w:rsidRPr="00080FAF">
        <w:rPr>
          <w:snapToGrid w:val="0"/>
          <w:szCs w:val="19"/>
          <w:lang w:val="hr-HR"/>
        </w:rPr>
        <w:t>č</w:t>
      </w:r>
      <w:r>
        <w:rPr>
          <w:snapToGrid w:val="0"/>
          <w:szCs w:val="19"/>
        </w:rPr>
        <w:t>nja</w:t>
      </w:r>
      <w:r w:rsidRPr="00080FAF">
        <w:rPr>
          <w:snapToGrid w:val="0"/>
          <w:szCs w:val="19"/>
          <w:lang w:val="hr-HR"/>
        </w:rPr>
        <w:t xml:space="preserve"> 2010. </w:t>
      </w:r>
      <w:r>
        <w:rPr>
          <w:snapToGrid w:val="0"/>
          <w:szCs w:val="19"/>
        </w:rPr>
        <w:t>godine</w:t>
      </w:r>
      <w:r w:rsidRPr="00080FAF">
        <w:rPr>
          <w:snapToGrid w:val="0"/>
          <w:szCs w:val="19"/>
          <w:lang w:val="hr-HR"/>
        </w:rPr>
        <w:t xml:space="preserve"> </w:t>
      </w:r>
      <w:r>
        <w:rPr>
          <w:snapToGrid w:val="0"/>
          <w:szCs w:val="19"/>
        </w:rPr>
        <w:t>dosada</w:t>
      </w:r>
      <w:r w:rsidRPr="00080FAF">
        <w:rPr>
          <w:snapToGrid w:val="0"/>
          <w:szCs w:val="19"/>
          <w:lang w:val="hr-HR"/>
        </w:rPr>
        <w:t>š</w:t>
      </w:r>
      <w:r>
        <w:rPr>
          <w:snapToGrid w:val="0"/>
          <w:szCs w:val="19"/>
        </w:rPr>
        <w:t>nji</w:t>
      </w:r>
      <w:r w:rsidRPr="00080FAF">
        <w:rPr>
          <w:snapToGrid w:val="0"/>
          <w:szCs w:val="19"/>
          <w:lang w:val="hr-HR"/>
        </w:rPr>
        <w:t xml:space="preserve"> </w:t>
      </w:r>
      <w:r>
        <w:rPr>
          <w:snapToGrid w:val="0"/>
          <w:szCs w:val="19"/>
        </w:rPr>
        <w:t>segmenti</w:t>
      </w:r>
      <w:r w:rsidRPr="00080FAF">
        <w:rPr>
          <w:snapToGrid w:val="0"/>
          <w:szCs w:val="19"/>
          <w:lang w:val="hr-HR"/>
        </w:rPr>
        <w:t xml:space="preserve"> </w:t>
      </w:r>
      <w:r>
        <w:rPr>
          <w:snapToGrid w:val="0"/>
          <w:szCs w:val="19"/>
        </w:rPr>
        <w:t>T</w:t>
      </w:r>
      <w:r w:rsidRPr="00080FAF">
        <w:rPr>
          <w:snapToGrid w:val="0"/>
          <w:szCs w:val="19"/>
          <w:lang w:val="hr-HR"/>
        </w:rPr>
        <w:t>-</w:t>
      </w:r>
      <w:r>
        <w:rPr>
          <w:snapToGrid w:val="0"/>
          <w:szCs w:val="19"/>
        </w:rPr>
        <w:t>Com</w:t>
      </w:r>
      <w:r w:rsidRPr="00080FAF">
        <w:rPr>
          <w:snapToGrid w:val="0"/>
          <w:szCs w:val="19"/>
          <w:lang w:val="hr-HR"/>
        </w:rPr>
        <w:t xml:space="preserve"> </w:t>
      </w:r>
      <w:r>
        <w:rPr>
          <w:snapToGrid w:val="0"/>
          <w:szCs w:val="19"/>
        </w:rPr>
        <w:t>i</w:t>
      </w:r>
      <w:r w:rsidRPr="00080FAF">
        <w:rPr>
          <w:snapToGrid w:val="0"/>
          <w:szCs w:val="19"/>
          <w:lang w:val="hr-HR"/>
        </w:rPr>
        <w:t xml:space="preserve"> </w:t>
      </w:r>
      <w:r>
        <w:rPr>
          <w:snapToGrid w:val="0"/>
          <w:szCs w:val="19"/>
        </w:rPr>
        <w:t>T</w:t>
      </w:r>
      <w:r w:rsidRPr="00080FAF">
        <w:rPr>
          <w:snapToGrid w:val="0"/>
          <w:szCs w:val="19"/>
          <w:lang w:val="hr-HR"/>
        </w:rPr>
        <w:t>-</w:t>
      </w:r>
      <w:r>
        <w:rPr>
          <w:snapToGrid w:val="0"/>
          <w:szCs w:val="19"/>
        </w:rPr>
        <w:t>Mobile</w:t>
      </w:r>
      <w:r w:rsidRPr="00080FAF">
        <w:rPr>
          <w:snapToGrid w:val="0"/>
          <w:szCs w:val="19"/>
          <w:lang w:val="hr-HR"/>
        </w:rPr>
        <w:t xml:space="preserve"> </w:t>
      </w:r>
      <w:r>
        <w:rPr>
          <w:snapToGrid w:val="0"/>
          <w:szCs w:val="19"/>
        </w:rPr>
        <w:t>koji</w:t>
      </w:r>
      <w:r w:rsidRPr="00080FAF">
        <w:rPr>
          <w:snapToGrid w:val="0"/>
          <w:szCs w:val="19"/>
          <w:lang w:val="hr-HR"/>
        </w:rPr>
        <w:t xml:space="preserve"> </w:t>
      </w:r>
      <w:r>
        <w:rPr>
          <w:snapToGrid w:val="0"/>
          <w:szCs w:val="19"/>
        </w:rPr>
        <w:t>su</w:t>
      </w:r>
      <w:r w:rsidRPr="00080FAF">
        <w:rPr>
          <w:snapToGrid w:val="0"/>
          <w:szCs w:val="19"/>
          <w:lang w:val="hr-HR"/>
        </w:rPr>
        <w:t xml:space="preserve"> </w:t>
      </w:r>
      <w:r>
        <w:rPr>
          <w:snapToGrid w:val="0"/>
          <w:szCs w:val="19"/>
        </w:rPr>
        <w:t>se</w:t>
      </w:r>
      <w:r w:rsidRPr="00080FAF">
        <w:rPr>
          <w:snapToGrid w:val="0"/>
          <w:szCs w:val="19"/>
          <w:lang w:val="hr-HR"/>
        </w:rPr>
        <w:t xml:space="preserve"> </w:t>
      </w:r>
      <w:r>
        <w:rPr>
          <w:snapToGrid w:val="0"/>
          <w:szCs w:val="19"/>
        </w:rPr>
        <w:t>odnosili</w:t>
      </w:r>
      <w:r w:rsidRPr="00080FAF">
        <w:rPr>
          <w:snapToGrid w:val="0"/>
          <w:szCs w:val="19"/>
          <w:lang w:val="hr-HR"/>
        </w:rPr>
        <w:t xml:space="preserve"> </w:t>
      </w:r>
      <w:r>
        <w:rPr>
          <w:snapToGrid w:val="0"/>
          <w:szCs w:val="19"/>
        </w:rPr>
        <w:t>na</w:t>
      </w:r>
      <w:r w:rsidRPr="00080FAF">
        <w:rPr>
          <w:snapToGrid w:val="0"/>
          <w:szCs w:val="19"/>
          <w:lang w:val="hr-HR"/>
        </w:rPr>
        <w:t xml:space="preserve"> </w:t>
      </w:r>
      <w:r>
        <w:rPr>
          <w:snapToGrid w:val="0"/>
          <w:szCs w:val="19"/>
        </w:rPr>
        <w:t>tr</w:t>
      </w:r>
      <w:r w:rsidRPr="00080FAF">
        <w:rPr>
          <w:snapToGrid w:val="0"/>
          <w:szCs w:val="19"/>
          <w:lang w:val="hr-HR"/>
        </w:rPr>
        <w:t>ž</w:t>
      </w:r>
      <w:r>
        <w:rPr>
          <w:snapToGrid w:val="0"/>
          <w:szCs w:val="19"/>
        </w:rPr>
        <w:t>i</w:t>
      </w:r>
      <w:r w:rsidRPr="00080FAF">
        <w:rPr>
          <w:snapToGrid w:val="0"/>
          <w:szCs w:val="19"/>
          <w:lang w:val="hr-HR"/>
        </w:rPr>
        <w:t>š</w:t>
      </w:r>
      <w:r>
        <w:rPr>
          <w:snapToGrid w:val="0"/>
          <w:szCs w:val="19"/>
        </w:rPr>
        <w:t>te</w:t>
      </w:r>
      <w:r w:rsidRPr="00080FAF">
        <w:rPr>
          <w:snapToGrid w:val="0"/>
          <w:szCs w:val="19"/>
          <w:lang w:val="hr-HR"/>
        </w:rPr>
        <w:t xml:space="preserve"> </w:t>
      </w:r>
      <w:r>
        <w:rPr>
          <w:snapToGrid w:val="0"/>
          <w:szCs w:val="19"/>
        </w:rPr>
        <w:t>nepokretne</w:t>
      </w:r>
      <w:r w:rsidRPr="00080FAF">
        <w:rPr>
          <w:snapToGrid w:val="0"/>
          <w:szCs w:val="19"/>
          <w:lang w:val="hr-HR"/>
        </w:rPr>
        <w:t xml:space="preserve"> </w:t>
      </w:r>
      <w:r>
        <w:rPr>
          <w:snapToGrid w:val="0"/>
          <w:szCs w:val="19"/>
        </w:rPr>
        <w:t>i</w:t>
      </w:r>
      <w:r w:rsidRPr="00080FAF">
        <w:rPr>
          <w:snapToGrid w:val="0"/>
          <w:szCs w:val="19"/>
          <w:lang w:val="hr-HR"/>
        </w:rPr>
        <w:t xml:space="preserve"> </w:t>
      </w:r>
      <w:r>
        <w:rPr>
          <w:snapToGrid w:val="0"/>
          <w:szCs w:val="19"/>
        </w:rPr>
        <w:t>pokretne</w:t>
      </w:r>
      <w:r w:rsidRPr="00080FAF">
        <w:rPr>
          <w:snapToGrid w:val="0"/>
          <w:szCs w:val="19"/>
          <w:lang w:val="hr-HR"/>
        </w:rPr>
        <w:t xml:space="preserve"> </w:t>
      </w:r>
      <w:r>
        <w:rPr>
          <w:snapToGrid w:val="0"/>
          <w:szCs w:val="19"/>
        </w:rPr>
        <w:t>telefonije</w:t>
      </w:r>
      <w:r w:rsidRPr="00080FAF">
        <w:rPr>
          <w:snapToGrid w:val="0"/>
          <w:szCs w:val="19"/>
          <w:lang w:val="hr-HR"/>
        </w:rPr>
        <w:t xml:space="preserve">, </w:t>
      </w:r>
      <w:r>
        <w:rPr>
          <w:snapToGrid w:val="0"/>
          <w:szCs w:val="19"/>
        </w:rPr>
        <w:t>zamijenjeni</w:t>
      </w:r>
      <w:r w:rsidRPr="00080FAF">
        <w:rPr>
          <w:snapToGrid w:val="0"/>
          <w:szCs w:val="19"/>
          <w:lang w:val="hr-HR"/>
        </w:rPr>
        <w:t xml:space="preserve"> </w:t>
      </w:r>
      <w:r>
        <w:rPr>
          <w:snapToGrid w:val="0"/>
          <w:szCs w:val="19"/>
        </w:rPr>
        <w:t>su</w:t>
      </w:r>
      <w:r w:rsidRPr="00080FAF">
        <w:rPr>
          <w:snapToGrid w:val="0"/>
          <w:szCs w:val="19"/>
          <w:lang w:val="hr-HR"/>
        </w:rPr>
        <w:t xml:space="preserve"> </w:t>
      </w:r>
      <w:r>
        <w:rPr>
          <w:snapToGrid w:val="0"/>
          <w:szCs w:val="19"/>
        </w:rPr>
        <w:t>novom</w:t>
      </w:r>
      <w:r w:rsidRPr="00080FAF">
        <w:rPr>
          <w:snapToGrid w:val="0"/>
          <w:szCs w:val="19"/>
          <w:lang w:val="hr-HR"/>
        </w:rPr>
        <w:t xml:space="preserve"> </w:t>
      </w:r>
      <w:r>
        <w:rPr>
          <w:snapToGrid w:val="0"/>
          <w:szCs w:val="19"/>
        </w:rPr>
        <w:t>strukturom</w:t>
      </w:r>
      <w:r w:rsidRPr="00080FAF">
        <w:rPr>
          <w:snapToGrid w:val="0"/>
          <w:szCs w:val="19"/>
          <w:lang w:val="hr-HR"/>
        </w:rPr>
        <w:t xml:space="preserve"> </w:t>
      </w:r>
      <w:r>
        <w:rPr>
          <w:snapToGrid w:val="0"/>
          <w:szCs w:val="19"/>
        </w:rPr>
        <w:t>koja</w:t>
      </w:r>
      <w:r w:rsidRPr="00080FAF">
        <w:rPr>
          <w:snapToGrid w:val="0"/>
          <w:szCs w:val="19"/>
          <w:lang w:val="hr-HR"/>
        </w:rPr>
        <w:t xml:space="preserve"> </w:t>
      </w:r>
      <w:r>
        <w:rPr>
          <w:snapToGrid w:val="0"/>
          <w:szCs w:val="19"/>
        </w:rPr>
        <w:t>se</w:t>
      </w:r>
      <w:r w:rsidRPr="00080FAF">
        <w:rPr>
          <w:snapToGrid w:val="0"/>
          <w:szCs w:val="19"/>
          <w:lang w:val="hr-HR"/>
        </w:rPr>
        <w:t xml:space="preserve"> </w:t>
      </w:r>
      <w:r>
        <w:rPr>
          <w:snapToGrid w:val="0"/>
          <w:szCs w:val="19"/>
        </w:rPr>
        <w:t>temelji</w:t>
      </w:r>
      <w:r w:rsidRPr="00080FAF">
        <w:rPr>
          <w:snapToGrid w:val="0"/>
          <w:szCs w:val="19"/>
          <w:lang w:val="hr-HR"/>
        </w:rPr>
        <w:t xml:space="preserve"> </w:t>
      </w:r>
      <w:r>
        <w:rPr>
          <w:snapToGrid w:val="0"/>
          <w:szCs w:val="19"/>
        </w:rPr>
        <w:t>na</w:t>
      </w:r>
      <w:r w:rsidRPr="00080FAF">
        <w:rPr>
          <w:snapToGrid w:val="0"/>
          <w:szCs w:val="19"/>
          <w:lang w:val="hr-HR"/>
        </w:rPr>
        <w:t xml:space="preserve"> </w:t>
      </w:r>
      <w:r>
        <w:rPr>
          <w:snapToGrid w:val="0"/>
          <w:szCs w:val="19"/>
        </w:rPr>
        <w:t>Rezidencijalnim</w:t>
      </w:r>
      <w:r w:rsidRPr="00080FAF">
        <w:rPr>
          <w:snapToGrid w:val="0"/>
          <w:szCs w:val="19"/>
          <w:lang w:val="hr-HR"/>
        </w:rPr>
        <w:t xml:space="preserve"> </w:t>
      </w:r>
      <w:r>
        <w:rPr>
          <w:snapToGrid w:val="0"/>
          <w:szCs w:val="19"/>
        </w:rPr>
        <w:t>i</w:t>
      </w:r>
      <w:r w:rsidRPr="00080FAF">
        <w:rPr>
          <w:snapToGrid w:val="0"/>
          <w:szCs w:val="19"/>
          <w:lang w:val="hr-HR"/>
        </w:rPr>
        <w:t xml:space="preserve"> </w:t>
      </w:r>
      <w:r>
        <w:rPr>
          <w:snapToGrid w:val="0"/>
          <w:szCs w:val="19"/>
        </w:rPr>
        <w:t>Poslovnim</w:t>
      </w:r>
      <w:r w:rsidRPr="00080FAF">
        <w:rPr>
          <w:snapToGrid w:val="0"/>
          <w:szCs w:val="19"/>
          <w:lang w:val="hr-HR"/>
        </w:rPr>
        <w:t xml:space="preserve"> </w:t>
      </w:r>
      <w:r>
        <w:rPr>
          <w:snapToGrid w:val="0"/>
          <w:szCs w:val="19"/>
        </w:rPr>
        <w:t>segmentima</w:t>
      </w:r>
      <w:r w:rsidRPr="00080FAF">
        <w:rPr>
          <w:snapToGrid w:val="0"/>
          <w:szCs w:val="19"/>
          <w:lang w:val="hr-HR"/>
        </w:rPr>
        <w:t xml:space="preserve">. </w:t>
      </w:r>
      <w:r w:rsidRPr="00233061">
        <w:rPr>
          <w:snapToGrid w:val="0"/>
          <w:szCs w:val="19"/>
          <w:lang w:val="es-ES"/>
        </w:rPr>
        <w:t>Podaci o novim segmentima uvedeni su s prvim tromjesečjem 2011. godine.</w:t>
      </w:r>
    </w:p>
    <w:p w:rsidR="003E4626" w:rsidRPr="00233061" w:rsidRDefault="003E4626" w:rsidP="00BA5338">
      <w:pPr>
        <w:pStyle w:val="T10"/>
        <w:rPr>
          <w:snapToGrid w:val="0"/>
          <w:szCs w:val="19"/>
          <w:lang w:val="es-ES"/>
        </w:rPr>
      </w:pPr>
      <w:r>
        <w:rPr>
          <w:snapToGrid w:val="0"/>
          <w:szCs w:val="19"/>
          <w:lang w:val="es-ES"/>
        </w:rPr>
        <w:t>Operativni segmenti Grupe</w:t>
      </w:r>
      <w:r w:rsidRPr="00233061">
        <w:rPr>
          <w:snapToGrid w:val="0"/>
          <w:szCs w:val="19"/>
          <w:lang w:val="es-ES"/>
        </w:rPr>
        <w:t xml:space="preserve"> su </w:t>
      </w:r>
      <w:r>
        <w:rPr>
          <w:snapToGrid w:val="0"/>
          <w:szCs w:val="19"/>
          <w:lang w:val="es-ES"/>
        </w:rPr>
        <w:t>Segment privatnih korisnika</w:t>
      </w:r>
      <w:r w:rsidRPr="00233061">
        <w:rPr>
          <w:snapToGrid w:val="0"/>
          <w:szCs w:val="19"/>
          <w:lang w:val="es-ES"/>
        </w:rPr>
        <w:t xml:space="preserve">, </w:t>
      </w:r>
      <w:r>
        <w:rPr>
          <w:snapToGrid w:val="0"/>
          <w:szCs w:val="19"/>
          <w:lang w:val="es-ES"/>
        </w:rPr>
        <w:t>Segment poslovnih korisnika</w:t>
      </w:r>
      <w:r w:rsidRPr="00233061">
        <w:rPr>
          <w:snapToGrid w:val="0"/>
          <w:szCs w:val="19"/>
          <w:lang w:val="es-ES"/>
        </w:rPr>
        <w:t xml:space="preserve"> i </w:t>
      </w:r>
      <w:r>
        <w:rPr>
          <w:snapToGrid w:val="0"/>
          <w:szCs w:val="19"/>
          <w:lang w:val="es-ES"/>
        </w:rPr>
        <w:t>Mreža i funkcije podrške</w:t>
      </w:r>
    </w:p>
    <w:p w:rsidR="003E4626" w:rsidRPr="00233061" w:rsidRDefault="003E4626" w:rsidP="00BA5338">
      <w:pPr>
        <w:pStyle w:val="T10"/>
        <w:rPr>
          <w:snapToGrid w:val="0"/>
          <w:szCs w:val="19"/>
          <w:lang w:val="es-ES"/>
        </w:rPr>
      </w:pPr>
      <w:r>
        <w:rPr>
          <w:snapToGrid w:val="0"/>
          <w:szCs w:val="19"/>
          <w:lang w:val="es-ES"/>
        </w:rPr>
        <w:t>Segment privatnih korisnika</w:t>
      </w:r>
      <w:r w:rsidRPr="00233061">
        <w:rPr>
          <w:snapToGrid w:val="0"/>
          <w:szCs w:val="19"/>
          <w:lang w:val="es-ES"/>
        </w:rPr>
        <w:t xml:space="preserve"> uključuje marketinške aktivnosti, prodaju </w:t>
      </w:r>
      <w:r>
        <w:rPr>
          <w:snapToGrid w:val="0"/>
          <w:szCs w:val="19"/>
          <w:lang w:val="es-ES"/>
        </w:rPr>
        <w:t>i</w:t>
      </w:r>
      <w:r w:rsidRPr="00233061">
        <w:rPr>
          <w:snapToGrid w:val="0"/>
          <w:szCs w:val="19"/>
          <w:lang w:val="es-ES"/>
        </w:rPr>
        <w:t xml:space="preserve"> brigu o korisnicima koja se usmjerava na pružanje usluga pokretne </w:t>
      </w:r>
      <w:r>
        <w:rPr>
          <w:snapToGrid w:val="0"/>
          <w:szCs w:val="19"/>
          <w:lang w:val="es-ES"/>
        </w:rPr>
        <w:t>i</w:t>
      </w:r>
      <w:r w:rsidRPr="00233061">
        <w:rPr>
          <w:snapToGrid w:val="0"/>
          <w:szCs w:val="19"/>
          <w:lang w:val="es-ES"/>
        </w:rPr>
        <w:t xml:space="preserve"> nepokretne telefonije</w:t>
      </w:r>
      <w:r>
        <w:rPr>
          <w:snapToGrid w:val="0"/>
          <w:szCs w:val="19"/>
          <w:lang w:val="es-ES"/>
        </w:rPr>
        <w:t xml:space="preserve"> i distribuciju televizijskih programa privatnim korisnicima.</w:t>
      </w:r>
    </w:p>
    <w:p w:rsidR="003E4626" w:rsidRPr="00233061" w:rsidRDefault="003E4626" w:rsidP="00BA5338">
      <w:pPr>
        <w:pStyle w:val="T10"/>
        <w:rPr>
          <w:snapToGrid w:val="0"/>
          <w:szCs w:val="19"/>
          <w:lang w:val="es-ES"/>
        </w:rPr>
      </w:pPr>
      <w:r>
        <w:rPr>
          <w:snapToGrid w:val="0"/>
          <w:szCs w:val="19"/>
          <w:lang w:val="es-ES"/>
        </w:rPr>
        <w:t>Segment poslovnih korisnika</w:t>
      </w:r>
      <w:r w:rsidRPr="00085823">
        <w:rPr>
          <w:snapToGrid w:val="0"/>
          <w:szCs w:val="19"/>
          <w:lang w:val="es-ES"/>
        </w:rPr>
        <w:t xml:space="preserve"> uključuje</w:t>
      </w:r>
      <w:r>
        <w:rPr>
          <w:snapToGrid w:val="0"/>
          <w:szCs w:val="19"/>
          <w:lang w:val="es-ES"/>
        </w:rPr>
        <w:t xml:space="preserve"> </w:t>
      </w:r>
      <w:r w:rsidRPr="00233061">
        <w:rPr>
          <w:snapToGrid w:val="0"/>
          <w:szCs w:val="19"/>
          <w:lang w:val="es-ES"/>
        </w:rPr>
        <w:t xml:space="preserve">marketinške aktivnosti, prodaju </w:t>
      </w:r>
      <w:r>
        <w:rPr>
          <w:snapToGrid w:val="0"/>
          <w:szCs w:val="19"/>
          <w:lang w:val="es-ES"/>
        </w:rPr>
        <w:t>i</w:t>
      </w:r>
      <w:r w:rsidRPr="00233061">
        <w:rPr>
          <w:snapToGrid w:val="0"/>
          <w:szCs w:val="19"/>
          <w:lang w:val="es-ES"/>
        </w:rPr>
        <w:t xml:space="preserve"> brigu o korisnicima koja se usmjerava na pružanje usluga pokretne </w:t>
      </w:r>
      <w:r>
        <w:rPr>
          <w:snapToGrid w:val="0"/>
          <w:szCs w:val="19"/>
          <w:lang w:val="es-ES"/>
        </w:rPr>
        <w:t>i</w:t>
      </w:r>
      <w:r w:rsidRPr="00233061">
        <w:rPr>
          <w:snapToGrid w:val="0"/>
          <w:szCs w:val="19"/>
          <w:lang w:val="es-ES"/>
        </w:rPr>
        <w:t xml:space="preserve"> nepokretne telefonije</w:t>
      </w:r>
      <w:r>
        <w:rPr>
          <w:snapToGrid w:val="0"/>
          <w:szCs w:val="19"/>
          <w:lang w:val="es-ES"/>
        </w:rPr>
        <w:t>, usluge sistemske integracije poslovnim korisnicima i javnom sektoru. Segment poslovnih korisnika također je odgovorna za veleprodaju usluga nepokretne i pokretne telefonije.</w:t>
      </w:r>
    </w:p>
    <w:p w:rsidR="003E4626" w:rsidRPr="00085823" w:rsidRDefault="003E4626" w:rsidP="00BA5338">
      <w:pPr>
        <w:pStyle w:val="T10"/>
        <w:rPr>
          <w:snapToGrid w:val="0"/>
          <w:szCs w:val="19"/>
          <w:lang w:val="es-ES"/>
        </w:rPr>
      </w:pPr>
      <w:r>
        <w:rPr>
          <w:snapToGrid w:val="0"/>
          <w:szCs w:val="19"/>
          <w:lang w:val="es-ES"/>
        </w:rPr>
        <w:t>Funkcije mreže i podrške obuhvaćaju IT, nabavu, računovodstvo, riznicu, pravnu službu i ostale funkcije.</w:t>
      </w:r>
    </w:p>
    <w:p w:rsidR="003E4626" w:rsidRPr="003A46AA" w:rsidRDefault="003E4626" w:rsidP="00BA5338">
      <w:pPr>
        <w:pStyle w:val="T10"/>
        <w:rPr>
          <w:rFonts w:cs="Arial"/>
          <w:i/>
          <w:lang w:val="hr-HR"/>
        </w:rPr>
      </w:pPr>
      <w:r>
        <w:rPr>
          <w:rFonts w:cs="Arial"/>
          <w:i/>
          <w:lang w:val="hr-HR"/>
        </w:rPr>
        <w:br w:type="page"/>
      </w:r>
      <w:r w:rsidRPr="003A46AA">
        <w:rPr>
          <w:rFonts w:cs="Arial"/>
          <w:i/>
          <w:lang w:val="hr-HR"/>
        </w:rPr>
        <w:t>Poslovni segmenti</w:t>
      </w:r>
    </w:p>
    <w:p w:rsidR="003E4626" w:rsidRPr="003A46AA" w:rsidRDefault="003E4626" w:rsidP="00BA5338">
      <w:pPr>
        <w:pStyle w:val="T10"/>
        <w:rPr>
          <w:rFonts w:cs="Arial"/>
          <w:i/>
          <w:lang w:val="hr-HR"/>
        </w:rPr>
      </w:pPr>
      <w:r w:rsidRPr="003A46AA">
        <w:rPr>
          <w:rFonts w:cs="Arial"/>
          <w:lang w:val="hr-HR"/>
        </w:rPr>
        <w:t>U sljedećim tabelama prikazani su prihod i dobit</w:t>
      </w:r>
      <w:r>
        <w:rPr>
          <w:rFonts w:cs="Arial"/>
          <w:lang w:val="hr-HR"/>
        </w:rPr>
        <w:t xml:space="preserve"> Grupe</w:t>
      </w:r>
      <w:r w:rsidRPr="003A46AA">
        <w:rPr>
          <w:rFonts w:cs="Arial"/>
          <w:lang w:val="hr-HR"/>
        </w:rPr>
        <w:t xml:space="preserve"> po poslovnim segmentima:</w:t>
      </w: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Razdoblje</w:t>
            </w:r>
          </w:p>
          <w:p w:rsidR="003E4626" w:rsidRDefault="003E4626" w:rsidP="00BA5338">
            <w:pPr>
              <w:rPr>
                <w:rFonts w:ascii="Arial" w:hAnsi="Arial" w:cs="Arial"/>
                <w:sz w:val="20"/>
                <w:szCs w:val="20"/>
              </w:rPr>
            </w:pPr>
          </w:p>
          <w:p w:rsidR="003E4626" w:rsidRPr="00090152" w:rsidRDefault="003E4626" w:rsidP="00BA5338">
            <w:pPr>
              <w:rPr>
                <w:rFonts w:ascii="Arial" w:hAnsi="Arial" w:cs="Arial"/>
                <w:sz w:val="20"/>
                <w:szCs w:val="20"/>
              </w:rPr>
            </w:pPr>
            <w:r w:rsidRPr="00090152">
              <w:rPr>
                <w:rFonts w:ascii="Arial" w:hAnsi="Arial" w:cs="Arial"/>
                <w:sz w:val="20"/>
                <w:szCs w:val="20"/>
              </w:rPr>
              <w:t>Siječanj-</w:t>
            </w:r>
            <w:r>
              <w:rPr>
                <w:rFonts w:ascii="Arial" w:hAnsi="Arial" w:cs="Arial"/>
                <w:sz w:val="20"/>
                <w:szCs w:val="20"/>
              </w:rPr>
              <w:t>rujan</w:t>
            </w:r>
            <w:r w:rsidRPr="00090152">
              <w:rPr>
                <w:rFonts w:ascii="Arial" w:hAnsi="Arial" w:cs="Arial"/>
                <w:sz w:val="20"/>
                <w:szCs w:val="20"/>
              </w:rPr>
              <w:t xml:space="preserve"> 2011</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Mreža i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1.969</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1.383</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1.117</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829</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113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116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Default="003E4626" w:rsidP="00BA5338">
            <w:pPr>
              <w:jc w:val="right"/>
              <w:rPr>
                <w:rFonts w:ascii="Arial" w:hAnsi="Arial" w:cs="Arial"/>
                <w:sz w:val="20"/>
                <w:szCs w:val="20"/>
              </w:rPr>
            </w:pPr>
            <w:r>
              <w:rPr>
                <w:rFonts w:ascii="Arial" w:hAnsi="Arial" w:cs="Arial"/>
                <w:sz w:val="20"/>
                <w:szCs w:val="20"/>
              </w:rPr>
              <w:t>306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115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46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85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3.327</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2.765</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185</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1.079</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1.034</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1.365</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2.248</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1.731</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-1.180</w:t>
            </w:r>
          </w:p>
        </w:tc>
      </w:tr>
    </w:tbl>
    <w:p w:rsidR="003E4626" w:rsidRDefault="003E4626" w:rsidP="00BA5338">
      <w:pPr>
        <w:pStyle w:val="T10"/>
        <w:rPr>
          <w:snapToGrid w:val="0"/>
          <w:szCs w:val="19"/>
          <w:highlight w:val="yellow"/>
        </w:rPr>
      </w:pP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Tromjesečno razdoblje</w:t>
            </w:r>
          </w:p>
          <w:p w:rsidR="003E4626" w:rsidRDefault="003E4626" w:rsidP="00BA5338">
            <w:pPr>
              <w:rPr>
                <w:rFonts w:ascii="Arial" w:hAnsi="Arial" w:cs="Arial"/>
                <w:sz w:val="20"/>
                <w:szCs w:val="20"/>
              </w:rPr>
            </w:pPr>
          </w:p>
          <w:p w:rsidR="003E4626" w:rsidRPr="00090152" w:rsidRDefault="003E4626" w:rsidP="00BA5338">
            <w:pPr>
              <w:rPr>
                <w:rFonts w:ascii="Arial" w:hAnsi="Arial" w:cs="Arial"/>
                <w:sz w:val="20"/>
                <w:szCs w:val="20"/>
              </w:rPr>
            </w:pPr>
            <w:r>
              <w:rPr>
                <w:rFonts w:ascii="Arial" w:hAnsi="Arial" w:cs="Arial"/>
                <w:sz w:val="20"/>
                <w:szCs w:val="20"/>
              </w:rPr>
              <w:t>Srpanj-rujan</w:t>
            </w:r>
            <w:r w:rsidRPr="00090152">
              <w:rPr>
                <w:rFonts w:ascii="Arial" w:hAnsi="Arial" w:cs="Arial"/>
                <w:sz w:val="20"/>
                <w:szCs w:val="20"/>
              </w:rPr>
              <w:t xml:space="preserve"> 2011</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Mreža i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685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537</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387</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308</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49</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38</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Default="003E4626" w:rsidP="00BA5338">
            <w:pPr>
              <w:jc w:val="right"/>
              <w:rPr>
                <w:rFonts w:ascii="Arial" w:hAnsi="Arial" w:cs="Arial"/>
                <w:sz w:val="20"/>
                <w:szCs w:val="20"/>
              </w:rPr>
            </w:pPr>
            <w:r>
              <w:rPr>
                <w:rFonts w:ascii="Arial" w:hAnsi="Arial" w:cs="Arial"/>
                <w:sz w:val="20"/>
                <w:szCs w:val="20"/>
              </w:rPr>
              <w:t>127</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27</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1.157</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1.052</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58</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339</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347</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451</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818</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705</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w:t>
            </w:r>
            <w:r>
              <w:rPr>
                <w:rFonts w:ascii="Arial" w:hAnsi="Arial" w:cs="Arial"/>
                <w:b/>
                <w:bCs/>
                <w:sz w:val="20"/>
                <w:szCs w:val="20"/>
              </w:rPr>
              <w:t>393</w:t>
            </w:r>
          </w:p>
        </w:tc>
      </w:tr>
    </w:tbl>
    <w:p w:rsidR="003E4626" w:rsidRDefault="003E4626" w:rsidP="00BA5338">
      <w:pPr>
        <w:pStyle w:val="T10"/>
        <w:rPr>
          <w:snapToGrid w:val="0"/>
          <w:szCs w:val="19"/>
          <w:highlight w:val="yellow"/>
        </w:rPr>
      </w:pP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Razdoblje</w:t>
            </w:r>
          </w:p>
          <w:p w:rsidR="003E4626" w:rsidRPr="00090152" w:rsidRDefault="003E4626" w:rsidP="00BA5338">
            <w:pPr>
              <w:rPr>
                <w:rFonts w:ascii="Arial" w:hAnsi="Arial" w:cs="Arial"/>
                <w:sz w:val="20"/>
                <w:szCs w:val="20"/>
              </w:rPr>
            </w:pPr>
            <w:r>
              <w:rPr>
                <w:rFonts w:ascii="Arial" w:hAnsi="Arial" w:cs="Arial"/>
                <w:sz w:val="20"/>
                <w:szCs w:val="20"/>
              </w:rPr>
              <w:t>Siječanj-rujan</w:t>
            </w:r>
            <w:r w:rsidRPr="00090152">
              <w:rPr>
                <w:rFonts w:ascii="Arial" w:hAnsi="Arial" w:cs="Arial"/>
                <w:sz w:val="20"/>
                <w:szCs w:val="20"/>
              </w:rPr>
              <w:t xml:space="preserve"> 201</w:t>
            </w:r>
            <w:r>
              <w:rPr>
                <w:rFonts w:ascii="Arial" w:hAnsi="Arial" w:cs="Arial"/>
                <w:sz w:val="20"/>
                <w:szCs w:val="20"/>
              </w:rPr>
              <w:t>0</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 xml:space="preserve">Mreža </w:t>
            </w:r>
            <w:r>
              <w:rPr>
                <w:rFonts w:ascii="Arial" w:hAnsi="Arial" w:cs="Arial"/>
                <w:b/>
                <w:bCs/>
                <w:sz w:val="20"/>
                <w:szCs w:val="20"/>
              </w:rPr>
              <w:t>I</w:t>
            </w:r>
            <w:r w:rsidRPr="007A07D7">
              <w:rPr>
                <w:rFonts w:ascii="Arial" w:hAnsi="Arial" w:cs="Arial"/>
                <w:b/>
                <w:bCs/>
                <w:sz w:val="20"/>
                <w:szCs w:val="20"/>
              </w:rPr>
              <w:t xml:space="preserve">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2.256</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1.565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1.053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876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45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99</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Default="003E4626" w:rsidP="00BA5338">
            <w:pPr>
              <w:jc w:val="right"/>
              <w:rPr>
                <w:rFonts w:ascii="Arial" w:hAnsi="Arial" w:cs="Arial"/>
                <w:sz w:val="20"/>
                <w:szCs w:val="20"/>
              </w:rPr>
            </w:pPr>
            <w:r>
              <w:rPr>
                <w:rFonts w:ascii="Arial" w:hAnsi="Arial" w:cs="Arial"/>
                <w:sz w:val="20"/>
                <w:szCs w:val="20"/>
              </w:rPr>
              <w:t>115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135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44</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120</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3.502</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2.819</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104</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1.208</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899</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1.459</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2.294</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1.920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-1.355</w:t>
            </w:r>
          </w:p>
        </w:tc>
      </w:tr>
    </w:tbl>
    <w:p w:rsidR="003E4626" w:rsidRPr="00090152" w:rsidRDefault="003E4626" w:rsidP="00BA5338">
      <w:pPr>
        <w:rPr>
          <w:rFonts w:ascii="Arial" w:hAnsi="Arial"/>
          <w:kern w:val="19"/>
          <w:sz w:val="19"/>
          <w:szCs w:val="19"/>
          <w:highlight w:val="yellow"/>
          <w:lang w:eastAsia="en-US"/>
        </w:rPr>
      </w:pP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Tromjesečno razdoblje</w:t>
            </w:r>
          </w:p>
          <w:p w:rsidR="003E4626" w:rsidRPr="00090152" w:rsidRDefault="003E4626" w:rsidP="00BA5338">
            <w:pPr>
              <w:rPr>
                <w:rFonts w:ascii="Arial" w:hAnsi="Arial" w:cs="Arial"/>
                <w:sz w:val="20"/>
                <w:szCs w:val="20"/>
              </w:rPr>
            </w:pPr>
            <w:r>
              <w:rPr>
                <w:rFonts w:ascii="Arial" w:hAnsi="Arial" w:cs="Arial"/>
                <w:sz w:val="20"/>
                <w:szCs w:val="20"/>
              </w:rPr>
              <w:t>Srpanj-rujan</w:t>
            </w:r>
            <w:r w:rsidRPr="00090152">
              <w:rPr>
                <w:rFonts w:ascii="Arial" w:hAnsi="Arial" w:cs="Arial"/>
                <w:sz w:val="20"/>
                <w:szCs w:val="20"/>
              </w:rPr>
              <w:t xml:space="preserve"> 201</w:t>
            </w:r>
            <w:r>
              <w:rPr>
                <w:rFonts w:ascii="Arial" w:hAnsi="Arial" w:cs="Arial"/>
                <w:sz w:val="20"/>
                <w:szCs w:val="20"/>
              </w:rPr>
              <w:t>0</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Mreža i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769</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608</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362</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324</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16</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35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Default="003E4626" w:rsidP="00BA5338">
            <w:pPr>
              <w:jc w:val="right"/>
              <w:rPr>
                <w:rFonts w:ascii="Arial" w:hAnsi="Arial" w:cs="Arial"/>
                <w:sz w:val="20"/>
                <w:szCs w:val="20"/>
              </w:rPr>
            </w:pPr>
            <w:r>
              <w:rPr>
                <w:rFonts w:ascii="Arial" w:hAnsi="Arial" w:cs="Arial"/>
                <w:sz w:val="20"/>
                <w:szCs w:val="20"/>
              </w:rPr>
              <w:t>59</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43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4</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43</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1.194</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1.084</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28</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361</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320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486</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833</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764</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w:t>
            </w:r>
            <w:r>
              <w:rPr>
                <w:rFonts w:ascii="Arial" w:hAnsi="Arial" w:cs="Arial"/>
                <w:b/>
                <w:bCs/>
                <w:sz w:val="20"/>
                <w:szCs w:val="20"/>
              </w:rPr>
              <w:t>458</w:t>
            </w:r>
          </w:p>
        </w:tc>
      </w:tr>
    </w:tbl>
    <w:p w:rsidR="003E4626" w:rsidRPr="00090152" w:rsidRDefault="003E4626" w:rsidP="00BA5338">
      <w:pPr>
        <w:rPr>
          <w:rFonts w:ascii="Arial" w:hAnsi="Arial" w:cs="Arial"/>
          <w:b/>
          <w:sz w:val="20"/>
          <w:szCs w:val="20"/>
          <w:highlight w:val="yellow"/>
        </w:rPr>
      </w:pPr>
    </w:p>
    <w:p w:rsidR="003E4626" w:rsidRDefault="003E4626" w:rsidP="00BA5338">
      <w:pPr>
        <w:pStyle w:val="T10"/>
        <w:rPr>
          <w:snapToGrid w:val="0"/>
          <w:szCs w:val="19"/>
          <w:lang w:val="hr-HR"/>
        </w:rPr>
      </w:pPr>
    </w:p>
    <w:p w:rsidR="003E4626" w:rsidRPr="003A46AA" w:rsidRDefault="003E4626" w:rsidP="00BA5338">
      <w:pPr>
        <w:pStyle w:val="T10"/>
        <w:rPr>
          <w:snapToGrid w:val="0"/>
          <w:szCs w:val="19"/>
          <w:lang w:val="hr-HR"/>
        </w:rPr>
      </w:pPr>
    </w:p>
    <w:p w:rsidR="003E4626" w:rsidRPr="00B9412A" w:rsidRDefault="003E4626" w:rsidP="00BA5338">
      <w:pPr>
        <w:pStyle w:val="T2"/>
        <w:spacing w:after="0"/>
        <w:rPr>
          <w:b/>
          <w:szCs w:val="19"/>
          <w:lang w:val="hr-HR"/>
        </w:rPr>
      </w:pPr>
      <w:r w:rsidRPr="00B9412A">
        <w:rPr>
          <w:b/>
          <w:szCs w:val="19"/>
          <w:lang w:val="hr-HR"/>
        </w:rPr>
        <w:t>Odnosi s vladajućim i njime povezanim društvima</w:t>
      </w:r>
    </w:p>
    <w:p w:rsidR="003E4626" w:rsidRPr="003A46AA" w:rsidRDefault="003E4626" w:rsidP="00BA5338">
      <w:pPr>
        <w:pStyle w:val="T10"/>
        <w:rPr>
          <w:rFonts w:cs="Arial"/>
          <w:snapToGrid w:val="0"/>
          <w:sz w:val="20"/>
          <w:lang w:val="hr-HR"/>
        </w:rPr>
      </w:pPr>
      <w:r>
        <w:rPr>
          <w:rFonts w:cs="Arial"/>
          <w:snapToGrid w:val="0"/>
          <w:sz w:val="20"/>
        </w:rPr>
        <w:t>U</w:t>
      </w:r>
      <w:r w:rsidRPr="003A46AA">
        <w:rPr>
          <w:rFonts w:cs="Arial"/>
          <w:snapToGrid w:val="0"/>
          <w:sz w:val="20"/>
          <w:lang w:val="hr-HR"/>
        </w:rPr>
        <w:t xml:space="preserve"> </w:t>
      </w:r>
      <w:r>
        <w:rPr>
          <w:rFonts w:cs="Arial"/>
          <w:snapToGrid w:val="0"/>
          <w:sz w:val="20"/>
        </w:rPr>
        <w:t>prvih</w:t>
      </w:r>
      <w:r w:rsidRPr="00B05CFE">
        <w:rPr>
          <w:rFonts w:cs="Arial"/>
          <w:snapToGrid w:val="0"/>
          <w:sz w:val="20"/>
          <w:lang w:val="hr-HR"/>
        </w:rPr>
        <w:t xml:space="preserve"> </w:t>
      </w:r>
      <w:r>
        <w:rPr>
          <w:rFonts w:cs="Arial"/>
          <w:snapToGrid w:val="0"/>
          <w:sz w:val="20"/>
          <w:lang w:val="hr-HR"/>
        </w:rPr>
        <w:t>devet</w:t>
      </w:r>
      <w:r w:rsidRPr="003A46AA">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3A46AA">
        <w:rPr>
          <w:rFonts w:cs="Arial"/>
          <w:snapToGrid w:val="0"/>
          <w:sz w:val="20"/>
          <w:lang w:val="hr-HR"/>
        </w:rPr>
        <w:t xml:space="preserve">. </w:t>
      </w:r>
      <w:r w:rsidRPr="002568A7">
        <w:rPr>
          <w:rFonts w:cs="Arial"/>
          <w:snapToGrid w:val="0"/>
          <w:sz w:val="20"/>
        </w:rPr>
        <w:t>godine</w:t>
      </w:r>
      <w:r w:rsidRPr="003A46AA">
        <w:rPr>
          <w:rFonts w:cs="Arial"/>
          <w:snapToGrid w:val="0"/>
          <w:sz w:val="20"/>
          <w:lang w:val="hr-HR"/>
        </w:rPr>
        <w:t xml:space="preserve"> </w:t>
      </w:r>
      <w:r w:rsidRPr="002568A7">
        <w:rPr>
          <w:rFonts w:cs="Arial"/>
          <w:snapToGrid w:val="0"/>
          <w:sz w:val="20"/>
        </w:rPr>
        <w:t>nije</w:t>
      </w:r>
      <w:r w:rsidRPr="003A46AA">
        <w:rPr>
          <w:rFonts w:cs="Arial"/>
          <w:snapToGrid w:val="0"/>
          <w:sz w:val="20"/>
          <w:lang w:val="hr-HR"/>
        </w:rPr>
        <w:t xml:space="preserve"> </w:t>
      </w:r>
      <w:r w:rsidRPr="002568A7">
        <w:rPr>
          <w:rFonts w:cs="Arial"/>
          <w:snapToGrid w:val="0"/>
          <w:sz w:val="20"/>
        </w:rPr>
        <w:t>bilo</w:t>
      </w:r>
      <w:r w:rsidRPr="003A46AA">
        <w:rPr>
          <w:rFonts w:cs="Arial"/>
          <w:snapToGrid w:val="0"/>
          <w:sz w:val="20"/>
          <w:lang w:val="hr-HR"/>
        </w:rPr>
        <w:t xml:space="preserve"> </w:t>
      </w:r>
      <w:r w:rsidRPr="002568A7">
        <w:rPr>
          <w:rFonts w:cs="Arial"/>
          <w:snapToGrid w:val="0"/>
          <w:sz w:val="20"/>
        </w:rPr>
        <w:t>transakcija</w:t>
      </w:r>
      <w:r w:rsidRPr="003A46AA">
        <w:rPr>
          <w:rFonts w:cs="Arial"/>
          <w:snapToGrid w:val="0"/>
          <w:sz w:val="20"/>
          <w:lang w:val="hr-HR"/>
        </w:rPr>
        <w:t xml:space="preserve"> </w:t>
      </w:r>
      <w:r w:rsidRPr="002568A7">
        <w:rPr>
          <w:rFonts w:cs="Arial"/>
          <w:snapToGrid w:val="0"/>
          <w:sz w:val="20"/>
        </w:rPr>
        <w:t>izme</w:t>
      </w:r>
      <w:r w:rsidRPr="003A46AA">
        <w:rPr>
          <w:rFonts w:cs="Arial"/>
          <w:snapToGrid w:val="0"/>
          <w:sz w:val="20"/>
          <w:lang w:val="hr-HR"/>
        </w:rPr>
        <w:t>đ</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povezanih</w:t>
      </w:r>
      <w:r w:rsidRPr="003A46AA">
        <w:rPr>
          <w:rFonts w:cs="Arial"/>
          <w:snapToGrid w:val="0"/>
          <w:sz w:val="20"/>
          <w:lang w:val="hr-HR"/>
        </w:rPr>
        <w:t xml:space="preserve"> </w:t>
      </w:r>
      <w:r w:rsidRPr="002568A7">
        <w:rPr>
          <w:rFonts w:cs="Arial"/>
          <w:snapToGrid w:val="0"/>
          <w:sz w:val="20"/>
        </w:rPr>
        <w:t>osoba</w:t>
      </w:r>
      <w:r w:rsidRPr="003A46AA">
        <w:rPr>
          <w:rFonts w:cs="Arial"/>
          <w:snapToGrid w:val="0"/>
          <w:sz w:val="20"/>
          <w:lang w:val="hr-HR"/>
        </w:rPr>
        <w:t xml:space="preserve"> </w:t>
      </w:r>
      <w:r w:rsidRPr="002568A7">
        <w:rPr>
          <w:rFonts w:cs="Arial"/>
          <w:snapToGrid w:val="0"/>
          <w:sz w:val="20"/>
        </w:rPr>
        <w:t>koje</w:t>
      </w:r>
      <w:r w:rsidRPr="003A46AA">
        <w:rPr>
          <w:rFonts w:cs="Arial"/>
          <w:snapToGrid w:val="0"/>
          <w:sz w:val="20"/>
          <w:lang w:val="hr-HR"/>
        </w:rPr>
        <w:t xml:space="preserve"> </w:t>
      </w:r>
      <w:r w:rsidRPr="002568A7">
        <w:rPr>
          <w:rFonts w:cs="Arial"/>
          <w:snapToGrid w:val="0"/>
          <w:sz w:val="20"/>
        </w:rPr>
        <w:t>su</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tom</w:t>
      </w:r>
      <w:r w:rsidRPr="003A46AA">
        <w:rPr>
          <w:rFonts w:cs="Arial"/>
          <w:snapToGrid w:val="0"/>
          <w:sz w:val="20"/>
          <w:lang w:val="hr-HR"/>
        </w:rPr>
        <w:t xml:space="preserve"> </w:t>
      </w:r>
      <w:r w:rsidRPr="002568A7">
        <w:rPr>
          <w:rFonts w:cs="Arial"/>
          <w:snapToGrid w:val="0"/>
          <w:sz w:val="20"/>
        </w:rPr>
        <w:t>razdoblju</w:t>
      </w:r>
      <w:r w:rsidRPr="003A46AA">
        <w:rPr>
          <w:rFonts w:cs="Arial"/>
          <w:snapToGrid w:val="0"/>
          <w:sz w:val="20"/>
          <w:lang w:val="hr-HR"/>
        </w:rPr>
        <w:t xml:space="preserve"> </w:t>
      </w:r>
      <w:r w:rsidRPr="002568A7">
        <w:rPr>
          <w:rFonts w:cs="Arial"/>
          <w:snapToGrid w:val="0"/>
          <w:sz w:val="20"/>
        </w:rPr>
        <w:t>zna</w:t>
      </w:r>
      <w:r w:rsidRPr="003A46AA">
        <w:rPr>
          <w:rFonts w:cs="Arial"/>
          <w:snapToGrid w:val="0"/>
          <w:sz w:val="20"/>
          <w:lang w:val="hr-HR"/>
        </w:rPr>
        <w:t>č</w:t>
      </w:r>
      <w:r w:rsidRPr="002568A7">
        <w:rPr>
          <w:rFonts w:cs="Arial"/>
          <w:snapToGrid w:val="0"/>
          <w:sz w:val="20"/>
        </w:rPr>
        <w:t>ajno</w:t>
      </w:r>
      <w:r w:rsidRPr="003A46AA">
        <w:rPr>
          <w:rFonts w:cs="Arial"/>
          <w:snapToGrid w:val="0"/>
          <w:sz w:val="20"/>
          <w:lang w:val="hr-HR"/>
        </w:rPr>
        <w:t xml:space="preserve"> </w:t>
      </w:r>
      <w:r w:rsidRPr="002568A7">
        <w:rPr>
          <w:rFonts w:cs="Arial"/>
          <w:snapToGrid w:val="0"/>
          <w:sz w:val="20"/>
        </w:rPr>
        <w:t>utjecale</w:t>
      </w:r>
      <w:r w:rsidRPr="003A46AA">
        <w:rPr>
          <w:rFonts w:cs="Arial"/>
          <w:snapToGrid w:val="0"/>
          <w:sz w:val="20"/>
          <w:lang w:val="hr-HR"/>
        </w:rPr>
        <w:t xml:space="preserve"> </w:t>
      </w:r>
      <w:r w:rsidRPr="002568A7">
        <w:rPr>
          <w:rFonts w:cs="Arial"/>
          <w:snapToGrid w:val="0"/>
          <w:sz w:val="20"/>
        </w:rPr>
        <w:t>na</w:t>
      </w:r>
      <w:r w:rsidRPr="003A46AA">
        <w:rPr>
          <w:rFonts w:cs="Arial"/>
          <w:snapToGrid w:val="0"/>
          <w:sz w:val="20"/>
          <w:lang w:val="hr-HR"/>
        </w:rPr>
        <w:t xml:space="preserve"> </w:t>
      </w:r>
      <w:r w:rsidRPr="002568A7">
        <w:rPr>
          <w:rFonts w:cs="Arial"/>
          <w:snapToGrid w:val="0"/>
          <w:sz w:val="20"/>
        </w:rPr>
        <w:t>financijski</w:t>
      </w:r>
      <w:r w:rsidRPr="003A46AA">
        <w:rPr>
          <w:rFonts w:cs="Arial"/>
          <w:snapToGrid w:val="0"/>
          <w:sz w:val="20"/>
          <w:lang w:val="hr-HR"/>
        </w:rPr>
        <w:t xml:space="preserve"> </w:t>
      </w:r>
      <w:r w:rsidRPr="002568A7">
        <w:rPr>
          <w:rFonts w:cs="Arial"/>
          <w:snapToGrid w:val="0"/>
          <w:sz w:val="20"/>
        </w:rPr>
        <w:t>polo</w:t>
      </w:r>
      <w:r w:rsidRPr="003A46AA">
        <w:rPr>
          <w:rFonts w:cs="Arial"/>
          <w:snapToGrid w:val="0"/>
          <w:sz w:val="20"/>
          <w:lang w:val="hr-HR"/>
        </w:rPr>
        <w:t>ž</w:t>
      </w:r>
      <w:r w:rsidRPr="002568A7">
        <w:rPr>
          <w:rFonts w:cs="Arial"/>
          <w:snapToGrid w:val="0"/>
          <w:sz w:val="20"/>
        </w:rPr>
        <w:t>aj</w:t>
      </w:r>
      <w:r w:rsidRPr="003A46AA">
        <w:rPr>
          <w:rFonts w:cs="Arial"/>
          <w:snapToGrid w:val="0"/>
          <w:sz w:val="20"/>
          <w:lang w:val="hr-HR"/>
        </w:rPr>
        <w:t xml:space="preserve"> </w:t>
      </w:r>
      <w:r w:rsidRPr="002568A7">
        <w:rPr>
          <w:rFonts w:cs="Arial"/>
          <w:snapToGrid w:val="0"/>
          <w:sz w:val="20"/>
        </w:rPr>
        <w:t>i</w:t>
      </w:r>
      <w:r w:rsidRPr="003A46AA">
        <w:rPr>
          <w:rFonts w:cs="Arial"/>
          <w:snapToGrid w:val="0"/>
          <w:sz w:val="20"/>
          <w:lang w:val="hr-HR"/>
        </w:rPr>
        <w:t xml:space="preserve"> </w:t>
      </w:r>
      <w:r w:rsidRPr="002568A7">
        <w:rPr>
          <w:rFonts w:cs="Arial"/>
          <w:snapToGrid w:val="0"/>
          <w:sz w:val="20"/>
        </w:rPr>
        <w:t>poslovanje</w:t>
      </w:r>
      <w:r w:rsidRPr="003A46AA">
        <w:rPr>
          <w:rFonts w:cs="Arial"/>
          <w:snapToGrid w:val="0"/>
          <w:sz w:val="20"/>
          <w:lang w:val="hr-HR"/>
        </w:rPr>
        <w:t xml:space="preserve"> </w:t>
      </w:r>
      <w:r w:rsidRPr="002568A7">
        <w:rPr>
          <w:rFonts w:cs="Arial"/>
          <w:snapToGrid w:val="0"/>
          <w:sz w:val="20"/>
        </w:rPr>
        <w:t>Grupe</w:t>
      </w:r>
      <w:r w:rsidRPr="003A46AA">
        <w:rPr>
          <w:rFonts w:cs="Arial"/>
          <w:snapToGrid w:val="0"/>
          <w:sz w:val="20"/>
          <w:lang w:val="hr-HR"/>
        </w:rPr>
        <w:t>.</w:t>
      </w:r>
    </w:p>
    <w:p w:rsidR="003E4626" w:rsidRPr="003A46AA" w:rsidRDefault="003E4626" w:rsidP="00BA5338">
      <w:pPr>
        <w:pStyle w:val="T10"/>
        <w:rPr>
          <w:rFonts w:cs="Arial"/>
          <w:snapToGrid w:val="0"/>
          <w:sz w:val="20"/>
          <w:lang w:val="hr-HR"/>
        </w:rPr>
      </w:pPr>
      <w:r>
        <w:rPr>
          <w:rFonts w:cs="Arial"/>
          <w:snapToGrid w:val="0"/>
          <w:sz w:val="20"/>
        </w:rPr>
        <w:t>U</w:t>
      </w:r>
      <w:r w:rsidRPr="003A46AA">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3A46AA">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3A46AA">
        <w:rPr>
          <w:rFonts w:cs="Arial"/>
          <w:snapToGrid w:val="0"/>
          <w:sz w:val="20"/>
          <w:lang w:val="hr-HR"/>
        </w:rPr>
        <w:t xml:space="preserve">. </w:t>
      </w:r>
      <w:r w:rsidRPr="002568A7">
        <w:rPr>
          <w:rFonts w:cs="Arial"/>
          <w:snapToGrid w:val="0"/>
          <w:sz w:val="20"/>
        </w:rPr>
        <w:t>godine</w:t>
      </w:r>
      <w:r w:rsidRPr="003A46AA">
        <w:rPr>
          <w:rFonts w:cs="Arial"/>
          <w:snapToGrid w:val="0"/>
          <w:sz w:val="20"/>
          <w:lang w:val="hr-HR"/>
        </w:rPr>
        <w:t xml:space="preserve"> </w:t>
      </w:r>
      <w:r w:rsidRPr="002568A7">
        <w:rPr>
          <w:rFonts w:cs="Arial"/>
          <w:snapToGrid w:val="0"/>
          <w:sz w:val="20"/>
        </w:rPr>
        <w:t>nije</w:t>
      </w:r>
      <w:r w:rsidRPr="003A46AA">
        <w:rPr>
          <w:rFonts w:cs="Arial"/>
          <w:snapToGrid w:val="0"/>
          <w:sz w:val="20"/>
          <w:lang w:val="hr-HR"/>
        </w:rPr>
        <w:t xml:space="preserve"> </w:t>
      </w:r>
      <w:r w:rsidRPr="002568A7">
        <w:rPr>
          <w:rFonts w:cs="Arial"/>
          <w:snapToGrid w:val="0"/>
          <w:sz w:val="20"/>
        </w:rPr>
        <w:t>bilo</w:t>
      </w:r>
      <w:r w:rsidRPr="003A46AA">
        <w:rPr>
          <w:rFonts w:cs="Arial"/>
          <w:snapToGrid w:val="0"/>
          <w:sz w:val="20"/>
          <w:lang w:val="hr-HR"/>
        </w:rPr>
        <w:t xml:space="preserve"> </w:t>
      </w:r>
      <w:r w:rsidRPr="002568A7">
        <w:rPr>
          <w:rFonts w:cs="Arial"/>
          <w:snapToGrid w:val="0"/>
          <w:sz w:val="20"/>
        </w:rPr>
        <w:t>promjena</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transakcijama</w:t>
      </w:r>
      <w:r w:rsidRPr="003A46AA">
        <w:rPr>
          <w:rFonts w:cs="Arial"/>
          <w:snapToGrid w:val="0"/>
          <w:sz w:val="20"/>
          <w:lang w:val="hr-HR"/>
        </w:rPr>
        <w:t xml:space="preserve"> </w:t>
      </w:r>
      <w:r w:rsidRPr="002568A7">
        <w:rPr>
          <w:rFonts w:cs="Arial"/>
          <w:snapToGrid w:val="0"/>
          <w:sz w:val="20"/>
        </w:rPr>
        <w:t>izme</w:t>
      </w:r>
      <w:r w:rsidRPr="003A46AA">
        <w:rPr>
          <w:rFonts w:cs="Arial"/>
          <w:snapToGrid w:val="0"/>
          <w:sz w:val="20"/>
          <w:lang w:val="hr-HR"/>
        </w:rPr>
        <w:t>đ</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povezanih</w:t>
      </w:r>
      <w:r w:rsidRPr="003A46AA">
        <w:rPr>
          <w:rFonts w:cs="Arial"/>
          <w:snapToGrid w:val="0"/>
          <w:sz w:val="20"/>
          <w:lang w:val="hr-HR"/>
        </w:rPr>
        <w:t xml:space="preserve"> </w:t>
      </w:r>
      <w:r w:rsidRPr="002568A7">
        <w:rPr>
          <w:rFonts w:cs="Arial"/>
          <w:snapToGrid w:val="0"/>
          <w:sz w:val="20"/>
        </w:rPr>
        <w:t>osoba</w:t>
      </w:r>
      <w:r w:rsidRPr="003A46AA">
        <w:rPr>
          <w:rFonts w:cs="Arial"/>
          <w:snapToGrid w:val="0"/>
          <w:sz w:val="20"/>
          <w:lang w:val="hr-HR"/>
        </w:rPr>
        <w:t xml:space="preserve"> </w:t>
      </w:r>
      <w:r w:rsidRPr="002568A7">
        <w:rPr>
          <w:rFonts w:cs="Arial"/>
          <w:snapToGrid w:val="0"/>
          <w:sz w:val="20"/>
        </w:rPr>
        <w:t>koje</w:t>
      </w:r>
      <w:r w:rsidRPr="003A46AA">
        <w:rPr>
          <w:rFonts w:cs="Arial"/>
          <w:snapToGrid w:val="0"/>
          <w:sz w:val="20"/>
          <w:lang w:val="hr-HR"/>
        </w:rPr>
        <w:t xml:space="preserve"> </w:t>
      </w:r>
      <w:r w:rsidRPr="002568A7">
        <w:rPr>
          <w:rFonts w:cs="Arial"/>
          <w:snapToGrid w:val="0"/>
          <w:sz w:val="20"/>
        </w:rPr>
        <w:t>su</w:t>
      </w:r>
      <w:r w:rsidRPr="003A46AA">
        <w:rPr>
          <w:rFonts w:cs="Arial"/>
          <w:snapToGrid w:val="0"/>
          <w:sz w:val="20"/>
          <w:lang w:val="hr-HR"/>
        </w:rPr>
        <w:t xml:space="preserve"> </w:t>
      </w:r>
      <w:r w:rsidRPr="002568A7">
        <w:rPr>
          <w:rFonts w:cs="Arial"/>
          <w:snapToGrid w:val="0"/>
          <w:sz w:val="20"/>
        </w:rPr>
        <w:t>navedene</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godi</w:t>
      </w:r>
      <w:r w:rsidRPr="003A46AA">
        <w:rPr>
          <w:rFonts w:cs="Arial"/>
          <w:snapToGrid w:val="0"/>
          <w:sz w:val="20"/>
          <w:lang w:val="hr-HR"/>
        </w:rPr>
        <w:t>š</w:t>
      </w:r>
      <w:r w:rsidRPr="002568A7">
        <w:rPr>
          <w:rFonts w:cs="Arial"/>
          <w:snapToGrid w:val="0"/>
          <w:sz w:val="20"/>
        </w:rPr>
        <w:t>nj</w:t>
      </w:r>
      <w:r>
        <w:rPr>
          <w:rFonts w:cs="Arial"/>
          <w:snapToGrid w:val="0"/>
          <w:sz w:val="20"/>
        </w:rPr>
        <w:t>em</w:t>
      </w:r>
      <w:r w:rsidRPr="003A46AA">
        <w:rPr>
          <w:rFonts w:cs="Arial"/>
          <w:snapToGrid w:val="0"/>
          <w:sz w:val="20"/>
          <w:lang w:val="hr-HR"/>
        </w:rPr>
        <w:t xml:space="preserve"> </w:t>
      </w:r>
      <w:r>
        <w:rPr>
          <w:rFonts w:cs="Arial"/>
          <w:snapToGrid w:val="0"/>
          <w:sz w:val="20"/>
        </w:rPr>
        <w:t>financijskom</w:t>
      </w:r>
      <w:r w:rsidRPr="003A46AA">
        <w:rPr>
          <w:rFonts w:cs="Arial"/>
          <w:snapToGrid w:val="0"/>
          <w:sz w:val="20"/>
          <w:lang w:val="hr-HR"/>
        </w:rPr>
        <w:t xml:space="preserve"> </w:t>
      </w:r>
      <w:r>
        <w:rPr>
          <w:rFonts w:cs="Arial"/>
          <w:snapToGrid w:val="0"/>
          <w:sz w:val="20"/>
        </w:rPr>
        <w:t>izvje</w:t>
      </w:r>
      <w:r w:rsidRPr="003A46AA">
        <w:rPr>
          <w:rFonts w:cs="Arial"/>
          <w:snapToGrid w:val="0"/>
          <w:sz w:val="20"/>
          <w:lang w:val="hr-HR"/>
        </w:rPr>
        <w:t>šć</w:t>
      </w:r>
      <w:r>
        <w:rPr>
          <w:rFonts w:cs="Arial"/>
          <w:snapToGrid w:val="0"/>
          <w:sz w:val="20"/>
        </w:rPr>
        <w:t>u</w:t>
      </w:r>
      <w:r w:rsidRPr="003A46AA">
        <w:rPr>
          <w:rFonts w:cs="Arial"/>
          <w:snapToGrid w:val="0"/>
          <w:sz w:val="20"/>
          <w:lang w:val="hr-HR"/>
        </w:rPr>
        <w:t xml:space="preserve"> </w:t>
      </w:r>
      <w:r>
        <w:rPr>
          <w:rFonts w:cs="Arial"/>
          <w:snapToGrid w:val="0"/>
          <w:sz w:val="20"/>
        </w:rPr>
        <w:t>za</w:t>
      </w:r>
      <w:r>
        <w:rPr>
          <w:rFonts w:cs="Arial"/>
          <w:snapToGrid w:val="0"/>
          <w:sz w:val="20"/>
          <w:lang w:val="hr-HR"/>
        </w:rPr>
        <w:t xml:space="preserve"> 2010</w:t>
      </w:r>
      <w:r w:rsidRPr="003A46AA">
        <w:rPr>
          <w:rFonts w:cs="Arial"/>
          <w:snapToGrid w:val="0"/>
          <w:sz w:val="20"/>
          <w:lang w:val="hr-HR"/>
        </w:rPr>
        <w:t xml:space="preserve">. </w:t>
      </w:r>
      <w:r w:rsidRPr="002568A7">
        <w:rPr>
          <w:rFonts w:cs="Arial"/>
          <w:snapToGrid w:val="0"/>
          <w:sz w:val="20"/>
        </w:rPr>
        <w:t>godinu</w:t>
      </w:r>
      <w:r w:rsidRPr="003A46AA">
        <w:rPr>
          <w:rFonts w:cs="Arial"/>
          <w:snapToGrid w:val="0"/>
          <w:sz w:val="20"/>
          <w:lang w:val="hr-HR"/>
        </w:rPr>
        <w:t xml:space="preserve">, </w:t>
      </w:r>
      <w:r w:rsidRPr="002568A7">
        <w:rPr>
          <w:rFonts w:cs="Arial"/>
          <w:snapToGrid w:val="0"/>
          <w:sz w:val="20"/>
        </w:rPr>
        <w:t>a</w:t>
      </w:r>
      <w:r w:rsidRPr="003A46AA">
        <w:rPr>
          <w:rFonts w:cs="Arial"/>
          <w:snapToGrid w:val="0"/>
          <w:sz w:val="20"/>
          <w:lang w:val="hr-HR"/>
        </w:rPr>
        <w:t xml:space="preserve"> </w:t>
      </w:r>
      <w:r w:rsidRPr="002568A7">
        <w:rPr>
          <w:rFonts w:cs="Arial"/>
          <w:snapToGrid w:val="0"/>
          <w:sz w:val="20"/>
        </w:rPr>
        <w:t>koje</w:t>
      </w:r>
      <w:r w:rsidRPr="003A46AA">
        <w:rPr>
          <w:rFonts w:cs="Arial"/>
          <w:snapToGrid w:val="0"/>
          <w:sz w:val="20"/>
          <w:lang w:val="hr-HR"/>
        </w:rPr>
        <w:t xml:space="preserve"> </w:t>
      </w:r>
      <w:r w:rsidRPr="002568A7">
        <w:rPr>
          <w:rFonts w:cs="Arial"/>
          <w:snapToGrid w:val="0"/>
          <w:sz w:val="20"/>
        </w:rPr>
        <w:t>su</w:t>
      </w:r>
      <w:r w:rsidRPr="003A46AA">
        <w:rPr>
          <w:rFonts w:cs="Arial"/>
          <w:snapToGrid w:val="0"/>
          <w:sz w:val="20"/>
          <w:lang w:val="hr-HR"/>
        </w:rPr>
        <w:t xml:space="preserve"> </w:t>
      </w:r>
      <w:r w:rsidRPr="002568A7">
        <w:rPr>
          <w:rFonts w:cs="Arial"/>
          <w:snapToGrid w:val="0"/>
          <w:sz w:val="20"/>
        </w:rPr>
        <w:t>zna</w:t>
      </w:r>
      <w:r w:rsidRPr="003A46AA">
        <w:rPr>
          <w:rFonts w:cs="Arial"/>
          <w:snapToGrid w:val="0"/>
          <w:sz w:val="20"/>
          <w:lang w:val="hr-HR"/>
        </w:rPr>
        <w:t>č</w:t>
      </w:r>
      <w:r w:rsidRPr="002568A7">
        <w:rPr>
          <w:rFonts w:cs="Arial"/>
          <w:snapToGrid w:val="0"/>
          <w:sz w:val="20"/>
        </w:rPr>
        <w:t>ajno</w:t>
      </w:r>
      <w:r w:rsidRPr="003A46AA">
        <w:rPr>
          <w:rFonts w:cs="Arial"/>
          <w:snapToGrid w:val="0"/>
          <w:sz w:val="20"/>
          <w:lang w:val="hr-HR"/>
        </w:rPr>
        <w:t xml:space="preserve"> </w:t>
      </w:r>
      <w:r w:rsidRPr="002568A7">
        <w:rPr>
          <w:rFonts w:cs="Arial"/>
          <w:snapToGrid w:val="0"/>
          <w:sz w:val="20"/>
        </w:rPr>
        <w:t>utjecale</w:t>
      </w:r>
      <w:r w:rsidRPr="003A46AA">
        <w:rPr>
          <w:rFonts w:cs="Arial"/>
          <w:snapToGrid w:val="0"/>
          <w:sz w:val="20"/>
          <w:lang w:val="hr-HR"/>
        </w:rPr>
        <w:t xml:space="preserve"> </w:t>
      </w:r>
      <w:r w:rsidRPr="002568A7">
        <w:rPr>
          <w:rFonts w:cs="Arial"/>
          <w:snapToGrid w:val="0"/>
          <w:sz w:val="20"/>
        </w:rPr>
        <w:t>na</w:t>
      </w:r>
      <w:r w:rsidRPr="003A46AA">
        <w:rPr>
          <w:rFonts w:cs="Arial"/>
          <w:snapToGrid w:val="0"/>
          <w:sz w:val="20"/>
          <w:lang w:val="hr-HR"/>
        </w:rPr>
        <w:t xml:space="preserve"> </w:t>
      </w:r>
      <w:r w:rsidRPr="002568A7">
        <w:rPr>
          <w:rFonts w:cs="Arial"/>
          <w:snapToGrid w:val="0"/>
          <w:sz w:val="20"/>
        </w:rPr>
        <w:t>financijski</w:t>
      </w:r>
      <w:r w:rsidRPr="003A46AA">
        <w:rPr>
          <w:rFonts w:cs="Arial"/>
          <w:snapToGrid w:val="0"/>
          <w:sz w:val="20"/>
          <w:lang w:val="hr-HR"/>
        </w:rPr>
        <w:t xml:space="preserve"> </w:t>
      </w:r>
      <w:r w:rsidRPr="002568A7">
        <w:rPr>
          <w:rFonts w:cs="Arial"/>
          <w:snapToGrid w:val="0"/>
          <w:sz w:val="20"/>
        </w:rPr>
        <w:t>polo</w:t>
      </w:r>
      <w:r w:rsidRPr="003A46AA">
        <w:rPr>
          <w:rFonts w:cs="Arial"/>
          <w:snapToGrid w:val="0"/>
          <w:sz w:val="20"/>
          <w:lang w:val="hr-HR"/>
        </w:rPr>
        <w:t>ž</w:t>
      </w:r>
      <w:r w:rsidRPr="002568A7">
        <w:rPr>
          <w:rFonts w:cs="Arial"/>
          <w:snapToGrid w:val="0"/>
          <w:sz w:val="20"/>
        </w:rPr>
        <w:t>aj</w:t>
      </w:r>
      <w:r w:rsidRPr="003A46AA">
        <w:rPr>
          <w:rFonts w:cs="Arial"/>
          <w:snapToGrid w:val="0"/>
          <w:sz w:val="20"/>
          <w:lang w:val="hr-HR"/>
        </w:rPr>
        <w:t xml:space="preserve"> </w:t>
      </w:r>
      <w:r w:rsidRPr="002568A7">
        <w:rPr>
          <w:rFonts w:cs="Arial"/>
          <w:snapToGrid w:val="0"/>
          <w:sz w:val="20"/>
        </w:rPr>
        <w:t>i</w:t>
      </w:r>
      <w:r w:rsidRPr="003A46AA">
        <w:rPr>
          <w:rFonts w:cs="Arial"/>
          <w:snapToGrid w:val="0"/>
          <w:sz w:val="20"/>
          <w:lang w:val="hr-HR"/>
        </w:rPr>
        <w:t xml:space="preserve"> </w:t>
      </w:r>
      <w:r w:rsidRPr="002568A7">
        <w:rPr>
          <w:rFonts w:cs="Arial"/>
          <w:snapToGrid w:val="0"/>
          <w:sz w:val="20"/>
        </w:rPr>
        <w:t>poslovanje</w:t>
      </w:r>
      <w:r w:rsidRPr="003A46AA">
        <w:rPr>
          <w:rFonts w:cs="Arial"/>
          <w:snapToGrid w:val="0"/>
          <w:sz w:val="20"/>
          <w:lang w:val="hr-HR"/>
        </w:rPr>
        <w:t xml:space="preserve"> </w:t>
      </w:r>
      <w:r w:rsidRPr="002568A7">
        <w:rPr>
          <w:rFonts w:cs="Arial"/>
          <w:snapToGrid w:val="0"/>
          <w:sz w:val="20"/>
        </w:rPr>
        <w:t>Grupe</w:t>
      </w:r>
      <w:r w:rsidRPr="003A46AA">
        <w:rPr>
          <w:rFonts w:cs="Arial"/>
          <w:snapToGrid w:val="0"/>
          <w:sz w:val="20"/>
          <w:lang w:val="hr-HR"/>
        </w:rPr>
        <w:t xml:space="preserve"> </w:t>
      </w:r>
      <w:r>
        <w:rPr>
          <w:rFonts w:cs="Arial"/>
          <w:snapToGrid w:val="0"/>
          <w:sz w:val="20"/>
        </w:rPr>
        <w:t>u</w:t>
      </w:r>
      <w:r w:rsidRPr="003A46AA">
        <w:rPr>
          <w:rFonts w:cs="Arial"/>
          <w:snapToGrid w:val="0"/>
          <w:sz w:val="20"/>
          <w:lang w:val="hr-HR"/>
        </w:rPr>
        <w:t xml:space="preserve"> </w:t>
      </w:r>
      <w:r>
        <w:rPr>
          <w:rFonts w:cs="Arial"/>
          <w:snapToGrid w:val="0"/>
          <w:sz w:val="20"/>
        </w:rPr>
        <w:t>prvih</w:t>
      </w:r>
      <w:r w:rsidRPr="00B9412A">
        <w:rPr>
          <w:rFonts w:cs="Arial"/>
          <w:snapToGrid w:val="0"/>
          <w:sz w:val="20"/>
          <w:lang w:val="hr-HR"/>
        </w:rPr>
        <w:t xml:space="preserve"> </w:t>
      </w:r>
      <w:r>
        <w:rPr>
          <w:rFonts w:cs="Arial"/>
          <w:snapToGrid w:val="0"/>
          <w:sz w:val="20"/>
          <w:lang w:val="hr-HR"/>
        </w:rPr>
        <w:t>devet</w:t>
      </w:r>
      <w:r w:rsidRPr="00B05CFE">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3A46AA">
        <w:rPr>
          <w:rFonts w:cs="Arial"/>
          <w:snapToGrid w:val="0"/>
          <w:sz w:val="20"/>
          <w:lang w:val="hr-HR"/>
        </w:rPr>
        <w:t xml:space="preserve">. </w:t>
      </w:r>
      <w:r w:rsidRPr="002568A7">
        <w:rPr>
          <w:rFonts w:cs="Arial"/>
          <w:snapToGrid w:val="0"/>
          <w:sz w:val="20"/>
        </w:rPr>
        <w:t>godine</w:t>
      </w:r>
      <w:r w:rsidRPr="003A46AA">
        <w:rPr>
          <w:rFonts w:cs="Arial"/>
          <w:snapToGrid w:val="0"/>
          <w:sz w:val="20"/>
          <w:lang w:val="hr-HR"/>
        </w:rPr>
        <w:t>.</w:t>
      </w:r>
    </w:p>
    <w:p w:rsidR="003E4626" w:rsidRPr="003A46AA" w:rsidRDefault="003E4626" w:rsidP="00BA5338">
      <w:pPr>
        <w:pStyle w:val="T10"/>
        <w:rPr>
          <w:rFonts w:cs="Arial"/>
          <w:snapToGrid w:val="0"/>
          <w:sz w:val="20"/>
          <w:lang w:val="hr-HR"/>
        </w:rPr>
      </w:pPr>
      <w:r w:rsidRPr="002568A7">
        <w:rPr>
          <w:rFonts w:cs="Arial"/>
          <w:snapToGrid w:val="0"/>
          <w:sz w:val="20"/>
        </w:rPr>
        <w:t>Poslovni</w:t>
      </w:r>
      <w:r w:rsidRPr="003A46AA">
        <w:rPr>
          <w:rFonts w:cs="Arial"/>
          <w:snapToGrid w:val="0"/>
          <w:sz w:val="20"/>
          <w:lang w:val="hr-HR"/>
        </w:rPr>
        <w:t xml:space="preserve"> </w:t>
      </w:r>
      <w:r w:rsidRPr="002568A7">
        <w:rPr>
          <w:rFonts w:cs="Arial"/>
          <w:snapToGrid w:val="0"/>
          <w:sz w:val="20"/>
        </w:rPr>
        <w:t>odnosi</w:t>
      </w:r>
      <w:r w:rsidRPr="003A46AA">
        <w:rPr>
          <w:rFonts w:cs="Arial"/>
          <w:snapToGrid w:val="0"/>
          <w:sz w:val="20"/>
          <w:lang w:val="hr-HR"/>
        </w:rPr>
        <w:t xml:space="preserve"> </w:t>
      </w:r>
      <w:r w:rsidRPr="002568A7">
        <w:rPr>
          <w:rFonts w:cs="Arial"/>
          <w:snapToGrid w:val="0"/>
          <w:sz w:val="20"/>
        </w:rPr>
        <w:t>koje</w:t>
      </w:r>
      <w:r w:rsidRPr="003A46AA">
        <w:rPr>
          <w:rFonts w:cs="Arial"/>
          <w:snapToGrid w:val="0"/>
          <w:sz w:val="20"/>
          <w:lang w:val="hr-HR"/>
        </w:rPr>
        <w:t xml:space="preserve"> </w:t>
      </w:r>
      <w:r w:rsidRPr="002568A7">
        <w:rPr>
          <w:rFonts w:cs="Arial"/>
          <w:snapToGrid w:val="0"/>
          <w:sz w:val="20"/>
        </w:rPr>
        <w:t>su</w:t>
      </w:r>
      <w:r w:rsidRPr="003A46AA">
        <w:rPr>
          <w:rFonts w:cs="Arial"/>
          <w:snapToGrid w:val="0"/>
          <w:sz w:val="20"/>
          <w:lang w:val="hr-HR"/>
        </w:rPr>
        <w:t xml:space="preserve"> </w:t>
      </w:r>
      <w:r w:rsidRPr="002568A7">
        <w:rPr>
          <w:rFonts w:cs="Arial"/>
          <w:snapToGrid w:val="0"/>
          <w:sz w:val="20"/>
        </w:rPr>
        <w:t>HT</w:t>
      </w:r>
      <w:r w:rsidRPr="003A46AA">
        <w:rPr>
          <w:rFonts w:cs="Arial"/>
          <w:snapToGrid w:val="0"/>
          <w:sz w:val="20"/>
          <w:lang w:val="hr-HR"/>
        </w:rPr>
        <w:t xml:space="preserve"> </w:t>
      </w:r>
      <w:r w:rsidRPr="002568A7">
        <w:rPr>
          <w:rFonts w:cs="Arial"/>
          <w:snapToGrid w:val="0"/>
          <w:sz w:val="20"/>
        </w:rPr>
        <w:t>d</w:t>
      </w:r>
      <w:r w:rsidRPr="003A46AA">
        <w:rPr>
          <w:rFonts w:cs="Arial"/>
          <w:snapToGrid w:val="0"/>
          <w:sz w:val="20"/>
          <w:lang w:val="hr-HR"/>
        </w:rPr>
        <w:t>.</w:t>
      </w:r>
      <w:r w:rsidRPr="002568A7">
        <w:rPr>
          <w:rFonts w:cs="Arial"/>
          <w:snapToGrid w:val="0"/>
          <w:sz w:val="20"/>
        </w:rPr>
        <w:t>d</w:t>
      </w:r>
      <w:r w:rsidRPr="003A46AA">
        <w:rPr>
          <w:rFonts w:cs="Arial"/>
          <w:snapToGrid w:val="0"/>
          <w:sz w:val="20"/>
          <w:lang w:val="hr-HR"/>
        </w:rPr>
        <w:t xml:space="preserve">. </w:t>
      </w:r>
      <w:r w:rsidRPr="002568A7">
        <w:rPr>
          <w:rFonts w:cs="Arial"/>
          <w:snapToGrid w:val="0"/>
          <w:sz w:val="20"/>
        </w:rPr>
        <w:t>i</w:t>
      </w:r>
      <w:r w:rsidRPr="003A46AA">
        <w:rPr>
          <w:rFonts w:cs="Arial"/>
          <w:snapToGrid w:val="0"/>
          <w:sz w:val="20"/>
          <w:lang w:val="hr-HR"/>
        </w:rPr>
        <w:t xml:space="preserve"> </w:t>
      </w:r>
      <w:r w:rsidRPr="002568A7">
        <w:rPr>
          <w:rFonts w:cs="Arial"/>
          <w:snapToGrid w:val="0"/>
          <w:sz w:val="20"/>
        </w:rPr>
        <w:t>njegova</w:t>
      </w:r>
      <w:r w:rsidRPr="003A46AA">
        <w:rPr>
          <w:rFonts w:cs="Arial"/>
          <w:snapToGrid w:val="0"/>
          <w:sz w:val="20"/>
          <w:lang w:val="hr-HR"/>
        </w:rPr>
        <w:t xml:space="preserve"> </w:t>
      </w:r>
      <w:r w:rsidRPr="002568A7">
        <w:rPr>
          <w:rFonts w:cs="Arial"/>
          <w:snapToGrid w:val="0"/>
          <w:sz w:val="20"/>
        </w:rPr>
        <w:t>povezana</w:t>
      </w:r>
      <w:r w:rsidRPr="003A46AA">
        <w:rPr>
          <w:rFonts w:cs="Arial"/>
          <w:snapToGrid w:val="0"/>
          <w:sz w:val="20"/>
          <w:lang w:val="hr-HR"/>
        </w:rPr>
        <w:t xml:space="preserve"> </w:t>
      </w:r>
      <w:r w:rsidRPr="002568A7">
        <w:rPr>
          <w:rFonts w:cs="Arial"/>
          <w:snapToGrid w:val="0"/>
          <w:sz w:val="20"/>
        </w:rPr>
        <w:t>dru</w:t>
      </w:r>
      <w:r w:rsidRPr="003A46AA">
        <w:rPr>
          <w:rFonts w:cs="Arial"/>
          <w:snapToGrid w:val="0"/>
          <w:sz w:val="20"/>
          <w:lang w:val="hr-HR"/>
        </w:rPr>
        <w:t>š</w:t>
      </w:r>
      <w:r w:rsidRPr="002568A7">
        <w:rPr>
          <w:rFonts w:cs="Arial"/>
          <w:snapToGrid w:val="0"/>
          <w:sz w:val="20"/>
        </w:rPr>
        <w:t>tva</w:t>
      </w:r>
      <w:r w:rsidRPr="003A46AA">
        <w:rPr>
          <w:rFonts w:cs="Arial"/>
          <w:snapToGrid w:val="0"/>
          <w:sz w:val="20"/>
          <w:lang w:val="hr-HR"/>
        </w:rPr>
        <w:t xml:space="preserve"> </w:t>
      </w:r>
      <w:r>
        <w:rPr>
          <w:rFonts w:cs="Arial"/>
          <w:snapToGrid w:val="0"/>
          <w:sz w:val="20"/>
        </w:rPr>
        <w:t>u</w:t>
      </w:r>
      <w:r w:rsidRPr="003A46AA">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B05CFE">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3A46AA">
        <w:rPr>
          <w:rFonts w:cs="Arial"/>
          <w:snapToGrid w:val="0"/>
          <w:sz w:val="20"/>
          <w:lang w:val="hr-HR"/>
        </w:rPr>
        <w:t xml:space="preserve">. </w:t>
      </w:r>
      <w:r w:rsidRPr="002568A7">
        <w:rPr>
          <w:rFonts w:cs="Arial"/>
          <w:snapToGrid w:val="0"/>
          <w:sz w:val="20"/>
        </w:rPr>
        <w:t>godine</w:t>
      </w:r>
      <w:r w:rsidRPr="003A46AA">
        <w:rPr>
          <w:rFonts w:cs="Arial"/>
          <w:snapToGrid w:val="0"/>
          <w:sz w:val="20"/>
          <w:lang w:val="hr-HR"/>
        </w:rPr>
        <w:t xml:space="preserve"> </w:t>
      </w:r>
      <w:r w:rsidRPr="002568A7">
        <w:rPr>
          <w:rFonts w:cs="Arial"/>
          <w:snapToGrid w:val="0"/>
          <w:sz w:val="20"/>
        </w:rPr>
        <w:t>poduzeli</w:t>
      </w:r>
      <w:r w:rsidRPr="003A46AA">
        <w:rPr>
          <w:rFonts w:cs="Arial"/>
          <w:snapToGrid w:val="0"/>
          <w:sz w:val="20"/>
          <w:lang w:val="hr-HR"/>
        </w:rPr>
        <w:t xml:space="preserve"> </w:t>
      </w:r>
      <w:r w:rsidRPr="002568A7">
        <w:rPr>
          <w:rFonts w:cs="Arial"/>
          <w:snapToGrid w:val="0"/>
          <w:sz w:val="20"/>
        </w:rPr>
        <w:t>s</w:t>
      </w:r>
      <w:r w:rsidRPr="003A46AA">
        <w:rPr>
          <w:rFonts w:cs="Arial"/>
          <w:snapToGrid w:val="0"/>
          <w:sz w:val="20"/>
          <w:lang w:val="hr-HR"/>
        </w:rPr>
        <w:t xml:space="preserve"> </w:t>
      </w:r>
      <w:r w:rsidRPr="002568A7">
        <w:rPr>
          <w:rFonts w:cs="Arial"/>
          <w:snapToGrid w:val="0"/>
          <w:sz w:val="20"/>
        </w:rPr>
        <w:t>vladaju</w:t>
      </w:r>
      <w:r w:rsidRPr="003A46AA">
        <w:rPr>
          <w:rFonts w:cs="Arial"/>
          <w:snapToGrid w:val="0"/>
          <w:sz w:val="20"/>
          <w:lang w:val="hr-HR"/>
        </w:rPr>
        <w:t>ć</w:t>
      </w:r>
      <w:r w:rsidRPr="002568A7">
        <w:rPr>
          <w:rFonts w:cs="Arial"/>
          <w:snapToGrid w:val="0"/>
          <w:sz w:val="20"/>
        </w:rPr>
        <w:t>im</w:t>
      </w:r>
      <w:r w:rsidRPr="003A46AA">
        <w:rPr>
          <w:rFonts w:cs="Arial"/>
          <w:snapToGrid w:val="0"/>
          <w:sz w:val="20"/>
          <w:lang w:val="hr-HR"/>
        </w:rPr>
        <w:t xml:space="preserve"> </w:t>
      </w:r>
      <w:r w:rsidRPr="002568A7">
        <w:rPr>
          <w:rFonts w:cs="Arial"/>
          <w:snapToGrid w:val="0"/>
          <w:sz w:val="20"/>
        </w:rPr>
        <w:t>i</w:t>
      </w:r>
      <w:r w:rsidRPr="003A46AA">
        <w:rPr>
          <w:rFonts w:cs="Arial"/>
          <w:snapToGrid w:val="0"/>
          <w:sz w:val="20"/>
          <w:lang w:val="hr-HR"/>
        </w:rPr>
        <w:t xml:space="preserve"> </w:t>
      </w:r>
      <w:r w:rsidRPr="002568A7">
        <w:rPr>
          <w:rFonts w:cs="Arial"/>
          <w:snapToGrid w:val="0"/>
          <w:sz w:val="20"/>
        </w:rPr>
        <w:t>njime</w:t>
      </w:r>
      <w:r w:rsidRPr="003A46AA">
        <w:rPr>
          <w:rFonts w:cs="Arial"/>
          <w:snapToGrid w:val="0"/>
          <w:sz w:val="20"/>
          <w:lang w:val="hr-HR"/>
        </w:rPr>
        <w:t xml:space="preserve"> </w:t>
      </w:r>
      <w:r w:rsidRPr="002568A7">
        <w:rPr>
          <w:rFonts w:cs="Arial"/>
          <w:snapToGrid w:val="0"/>
          <w:sz w:val="20"/>
        </w:rPr>
        <w:t>povezanim</w:t>
      </w:r>
      <w:r w:rsidRPr="003A46AA">
        <w:rPr>
          <w:rFonts w:cs="Arial"/>
          <w:snapToGrid w:val="0"/>
          <w:sz w:val="20"/>
          <w:lang w:val="hr-HR"/>
        </w:rPr>
        <w:t xml:space="preserve"> </w:t>
      </w:r>
      <w:r w:rsidRPr="002568A7">
        <w:rPr>
          <w:rFonts w:cs="Arial"/>
          <w:snapToGrid w:val="0"/>
          <w:sz w:val="20"/>
        </w:rPr>
        <w:t>dru</w:t>
      </w:r>
      <w:r w:rsidRPr="003A46AA">
        <w:rPr>
          <w:rFonts w:cs="Arial"/>
          <w:snapToGrid w:val="0"/>
          <w:sz w:val="20"/>
          <w:lang w:val="hr-HR"/>
        </w:rPr>
        <w:t>š</w:t>
      </w:r>
      <w:r w:rsidRPr="002568A7">
        <w:rPr>
          <w:rFonts w:cs="Arial"/>
          <w:snapToGrid w:val="0"/>
          <w:sz w:val="20"/>
        </w:rPr>
        <w:t>tvima</w:t>
      </w:r>
      <w:r w:rsidRPr="003A46AA">
        <w:rPr>
          <w:rFonts w:cs="Arial"/>
          <w:snapToGrid w:val="0"/>
          <w:sz w:val="20"/>
          <w:lang w:val="hr-HR"/>
        </w:rPr>
        <w:t xml:space="preserve"> </w:t>
      </w:r>
      <w:r w:rsidRPr="002568A7">
        <w:rPr>
          <w:rFonts w:cs="Arial"/>
          <w:snapToGrid w:val="0"/>
          <w:sz w:val="20"/>
        </w:rPr>
        <w:t>mogu</w:t>
      </w:r>
      <w:r w:rsidRPr="003A46AA">
        <w:rPr>
          <w:rFonts w:cs="Arial"/>
          <w:snapToGrid w:val="0"/>
          <w:sz w:val="20"/>
          <w:lang w:val="hr-HR"/>
        </w:rPr>
        <w:t xml:space="preserve"> </w:t>
      </w:r>
      <w:r w:rsidRPr="002568A7">
        <w:rPr>
          <w:rFonts w:cs="Arial"/>
          <w:snapToGrid w:val="0"/>
          <w:sz w:val="20"/>
        </w:rPr>
        <w:t>se</w:t>
      </w:r>
      <w:r w:rsidRPr="003A46AA">
        <w:rPr>
          <w:rFonts w:cs="Arial"/>
          <w:snapToGrid w:val="0"/>
          <w:sz w:val="20"/>
          <w:lang w:val="hr-HR"/>
        </w:rPr>
        <w:t xml:space="preserve"> </w:t>
      </w:r>
      <w:r w:rsidRPr="002568A7">
        <w:rPr>
          <w:rFonts w:cs="Arial"/>
          <w:snapToGrid w:val="0"/>
          <w:sz w:val="20"/>
        </w:rPr>
        <w:t>podijeliti</w:t>
      </w:r>
      <w:r w:rsidRPr="003A46AA">
        <w:rPr>
          <w:rFonts w:cs="Arial"/>
          <w:snapToGrid w:val="0"/>
          <w:sz w:val="20"/>
          <w:lang w:val="hr-HR"/>
        </w:rPr>
        <w:t xml:space="preserve"> </w:t>
      </w:r>
      <w:r w:rsidRPr="002568A7">
        <w:rPr>
          <w:rFonts w:cs="Arial"/>
          <w:snapToGrid w:val="0"/>
          <w:sz w:val="20"/>
        </w:rPr>
        <w:t>kako</w:t>
      </w:r>
      <w:r w:rsidRPr="003A46AA">
        <w:rPr>
          <w:rFonts w:cs="Arial"/>
          <w:snapToGrid w:val="0"/>
          <w:sz w:val="20"/>
          <w:lang w:val="hr-HR"/>
        </w:rPr>
        <w:t xml:space="preserve"> </w:t>
      </w:r>
      <w:r w:rsidRPr="002568A7">
        <w:rPr>
          <w:rFonts w:cs="Arial"/>
          <w:snapToGrid w:val="0"/>
          <w:sz w:val="20"/>
        </w:rPr>
        <w:t>slijedi</w:t>
      </w:r>
      <w:r w:rsidRPr="003A46AA">
        <w:rPr>
          <w:rFonts w:cs="Arial"/>
          <w:snapToGrid w:val="0"/>
          <w:sz w:val="20"/>
          <w:lang w:val="hr-HR"/>
        </w:rPr>
        <w:t>:</w:t>
      </w:r>
    </w:p>
    <w:p w:rsidR="003E4626" w:rsidRPr="002568A7" w:rsidRDefault="003E4626" w:rsidP="00BA5338">
      <w:pPr>
        <w:pStyle w:val="Lijevo"/>
        <w:tabs>
          <w:tab w:val="clear" w:pos="1588"/>
          <w:tab w:val="clear" w:pos="1814"/>
          <w:tab w:val="left" w:pos="5475"/>
        </w:tabs>
        <w:spacing w:before="100" w:beforeAutospacing="1" w:after="100" w:afterAutospacing="1" w:line="240" w:lineRule="exact"/>
        <w:ind w:firstLine="708"/>
        <w:jc w:val="both"/>
        <w:rPr>
          <w:rFonts w:ascii="Arial" w:hAnsi="Arial" w:cs="Arial"/>
          <w:i/>
          <w:color w:val="000000"/>
          <w:sz w:val="20"/>
          <w:szCs w:val="20"/>
        </w:rPr>
      </w:pPr>
      <w:r>
        <w:rPr>
          <w:rFonts w:ascii="Arial" w:hAnsi="Arial" w:cs="Arial"/>
          <w:i/>
          <w:color w:val="000000"/>
          <w:sz w:val="20"/>
          <w:szCs w:val="20"/>
        </w:rPr>
        <w:t>Transakcije s povezanim društvima</w:t>
      </w:r>
    </w:p>
    <w:p w:rsidR="003E4626" w:rsidRPr="003A46AA" w:rsidRDefault="003E4626" w:rsidP="00BA5338">
      <w:pPr>
        <w:pStyle w:val="T10"/>
        <w:rPr>
          <w:rFonts w:cs="Arial"/>
          <w:snapToGrid w:val="0"/>
          <w:sz w:val="20"/>
          <w:lang w:val="hr-HR"/>
        </w:rPr>
      </w:pPr>
      <w:r w:rsidRPr="002568A7">
        <w:rPr>
          <w:rFonts w:cs="Arial"/>
          <w:snapToGrid w:val="0"/>
          <w:sz w:val="20"/>
        </w:rPr>
        <w:t>Poslovni</w:t>
      </w:r>
      <w:r w:rsidRPr="003A46AA">
        <w:rPr>
          <w:rFonts w:cs="Arial"/>
          <w:snapToGrid w:val="0"/>
          <w:sz w:val="20"/>
          <w:lang w:val="hr-HR"/>
        </w:rPr>
        <w:t xml:space="preserve"> </w:t>
      </w:r>
      <w:r w:rsidRPr="002568A7">
        <w:rPr>
          <w:rFonts w:cs="Arial"/>
          <w:snapToGrid w:val="0"/>
          <w:sz w:val="20"/>
        </w:rPr>
        <w:t>odnosi</w:t>
      </w:r>
      <w:r w:rsidRPr="003A46AA">
        <w:rPr>
          <w:rFonts w:cs="Arial"/>
          <w:snapToGrid w:val="0"/>
          <w:sz w:val="20"/>
          <w:lang w:val="hr-HR"/>
        </w:rPr>
        <w:t xml:space="preserve"> </w:t>
      </w:r>
      <w:r w:rsidRPr="002568A7">
        <w:rPr>
          <w:rFonts w:cs="Arial"/>
          <w:snapToGrid w:val="0"/>
          <w:sz w:val="20"/>
        </w:rPr>
        <w:t>s</w:t>
      </w:r>
      <w:r w:rsidRPr="003A46AA">
        <w:rPr>
          <w:rFonts w:cs="Arial"/>
          <w:snapToGrid w:val="0"/>
          <w:sz w:val="20"/>
          <w:lang w:val="hr-HR"/>
        </w:rPr>
        <w:t xml:space="preserve"> </w:t>
      </w:r>
      <w:r w:rsidRPr="002568A7">
        <w:rPr>
          <w:rFonts w:cs="Arial"/>
          <w:snapToGrid w:val="0"/>
          <w:sz w:val="20"/>
        </w:rPr>
        <w:t>povezanim</w:t>
      </w:r>
      <w:r w:rsidRPr="003A46AA">
        <w:rPr>
          <w:rFonts w:cs="Arial"/>
          <w:snapToGrid w:val="0"/>
          <w:sz w:val="20"/>
          <w:lang w:val="hr-HR"/>
        </w:rPr>
        <w:t xml:space="preserve"> </w:t>
      </w:r>
      <w:r w:rsidRPr="002568A7">
        <w:rPr>
          <w:rFonts w:cs="Arial"/>
          <w:snapToGrid w:val="0"/>
          <w:sz w:val="20"/>
        </w:rPr>
        <w:t>poduze</w:t>
      </w:r>
      <w:r w:rsidRPr="003A46AA">
        <w:rPr>
          <w:rFonts w:cs="Arial"/>
          <w:snapToGrid w:val="0"/>
          <w:sz w:val="20"/>
          <w:lang w:val="hr-HR"/>
        </w:rPr>
        <w:t>ć</w:t>
      </w:r>
      <w:r w:rsidRPr="002568A7">
        <w:rPr>
          <w:rFonts w:cs="Arial"/>
          <w:snapToGrid w:val="0"/>
          <w:sz w:val="20"/>
        </w:rPr>
        <w:t>ima</w:t>
      </w:r>
      <w:r w:rsidRPr="003A46AA">
        <w:rPr>
          <w:rFonts w:cs="Arial"/>
          <w:snapToGrid w:val="0"/>
          <w:sz w:val="20"/>
          <w:lang w:val="hr-HR"/>
        </w:rPr>
        <w:t xml:space="preserve"> </w:t>
      </w:r>
      <w:r w:rsidRPr="002568A7">
        <w:rPr>
          <w:rFonts w:cs="Arial"/>
          <w:snapToGrid w:val="0"/>
          <w:sz w:val="20"/>
        </w:rPr>
        <w:t>se</w:t>
      </w:r>
      <w:r w:rsidRPr="003A46AA">
        <w:rPr>
          <w:rFonts w:cs="Arial"/>
          <w:snapToGrid w:val="0"/>
          <w:sz w:val="20"/>
          <w:lang w:val="hr-HR"/>
        </w:rPr>
        <w:t xml:space="preserve"> </w:t>
      </w:r>
      <w:r w:rsidRPr="002568A7">
        <w:rPr>
          <w:rFonts w:cs="Arial"/>
          <w:snapToGrid w:val="0"/>
          <w:sz w:val="20"/>
        </w:rPr>
        <w:t>odnose</w:t>
      </w:r>
      <w:r w:rsidRPr="003A46AA">
        <w:rPr>
          <w:rFonts w:cs="Arial"/>
          <w:snapToGrid w:val="0"/>
          <w:sz w:val="20"/>
          <w:lang w:val="hr-HR"/>
        </w:rPr>
        <w:t xml:space="preserve"> </w:t>
      </w:r>
      <w:r w:rsidRPr="002568A7">
        <w:rPr>
          <w:rFonts w:cs="Arial"/>
          <w:snapToGrid w:val="0"/>
          <w:sz w:val="20"/>
        </w:rPr>
        <w:t>na</w:t>
      </w:r>
      <w:r w:rsidRPr="003A46AA">
        <w:rPr>
          <w:rFonts w:cs="Arial"/>
          <w:snapToGrid w:val="0"/>
          <w:sz w:val="20"/>
          <w:lang w:val="hr-HR"/>
        </w:rPr>
        <w:t xml:space="preserve"> </w:t>
      </w:r>
      <w:r w:rsidRPr="002568A7">
        <w:rPr>
          <w:rFonts w:cs="Arial"/>
          <w:snapToGrid w:val="0"/>
          <w:sz w:val="20"/>
        </w:rPr>
        <w:t>dru</w:t>
      </w:r>
      <w:r w:rsidRPr="003A46AA">
        <w:rPr>
          <w:rFonts w:cs="Arial"/>
          <w:snapToGrid w:val="0"/>
          <w:sz w:val="20"/>
          <w:lang w:val="hr-HR"/>
        </w:rPr>
        <w:t>š</w:t>
      </w:r>
      <w:r w:rsidRPr="002568A7">
        <w:rPr>
          <w:rFonts w:cs="Arial"/>
          <w:snapToGrid w:val="0"/>
          <w:sz w:val="20"/>
        </w:rPr>
        <w:t>tva</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vlasni</w:t>
      </w:r>
      <w:r w:rsidRPr="003A46AA">
        <w:rPr>
          <w:rFonts w:cs="Arial"/>
          <w:snapToGrid w:val="0"/>
          <w:sz w:val="20"/>
          <w:lang w:val="hr-HR"/>
        </w:rPr>
        <w:t>š</w:t>
      </w:r>
      <w:r w:rsidRPr="002568A7">
        <w:rPr>
          <w:rFonts w:cs="Arial"/>
          <w:snapToGrid w:val="0"/>
          <w:sz w:val="20"/>
        </w:rPr>
        <w:t>tvu</w:t>
      </w:r>
      <w:r w:rsidRPr="003A46AA">
        <w:rPr>
          <w:rFonts w:cs="Arial"/>
          <w:snapToGrid w:val="0"/>
          <w:sz w:val="20"/>
          <w:lang w:val="hr-HR"/>
        </w:rPr>
        <w:t xml:space="preserve"> </w:t>
      </w:r>
      <w:r w:rsidRPr="002568A7">
        <w:rPr>
          <w:rFonts w:cs="Arial"/>
          <w:snapToGrid w:val="0"/>
          <w:sz w:val="20"/>
        </w:rPr>
        <w:t>dru</w:t>
      </w:r>
      <w:r w:rsidRPr="003A46AA">
        <w:rPr>
          <w:rFonts w:cs="Arial"/>
          <w:snapToGrid w:val="0"/>
          <w:sz w:val="20"/>
          <w:lang w:val="hr-HR"/>
        </w:rPr>
        <w:t>š</w:t>
      </w:r>
      <w:r w:rsidRPr="002568A7">
        <w:rPr>
          <w:rFonts w:cs="Arial"/>
          <w:snapToGrid w:val="0"/>
          <w:sz w:val="20"/>
        </w:rPr>
        <w:t>tva</w:t>
      </w:r>
      <w:r w:rsidRPr="003A46AA">
        <w:rPr>
          <w:rFonts w:cs="Arial"/>
          <w:snapToGrid w:val="0"/>
          <w:sz w:val="20"/>
          <w:lang w:val="hr-HR"/>
        </w:rPr>
        <w:t xml:space="preserve"> </w:t>
      </w:r>
      <w:r w:rsidRPr="002568A7">
        <w:rPr>
          <w:rFonts w:cs="Arial"/>
          <w:snapToGrid w:val="0"/>
          <w:sz w:val="20"/>
        </w:rPr>
        <w:t>Deutsche</w:t>
      </w:r>
      <w:r w:rsidRPr="003A46AA">
        <w:rPr>
          <w:rFonts w:cs="Arial"/>
          <w:snapToGrid w:val="0"/>
          <w:sz w:val="20"/>
          <w:lang w:val="hr-HR"/>
        </w:rPr>
        <w:t xml:space="preserve"> </w:t>
      </w:r>
      <w:r w:rsidRPr="002568A7">
        <w:rPr>
          <w:rFonts w:cs="Arial"/>
          <w:snapToGrid w:val="0"/>
          <w:sz w:val="20"/>
        </w:rPr>
        <w:t>Telekom</w:t>
      </w:r>
      <w:r w:rsidRPr="003A46AA">
        <w:rPr>
          <w:rFonts w:cs="Arial"/>
          <w:snapToGrid w:val="0"/>
          <w:sz w:val="20"/>
          <w:lang w:val="hr-HR"/>
        </w:rPr>
        <w:t xml:space="preserve"> </w:t>
      </w:r>
      <w:r w:rsidRPr="002568A7">
        <w:rPr>
          <w:rFonts w:cs="Arial"/>
          <w:snapToGrid w:val="0"/>
          <w:sz w:val="20"/>
        </w:rPr>
        <w:t>AG</w:t>
      </w:r>
      <w:r w:rsidRPr="003A46AA">
        <w:rPr>
          <w:rFonts w:cs="Arial"/>
          <w:snapToGrid w:val="0"/>
          <w:sz w:val="20"/>
          <w:lang w:val="hr-HR"/>
        </w:rPr>
        <w:t xml:space="preserve"> (</w:t>
      </w:r>
      <w:r w:rsidRPr="002568A7">
        <w:rPr>
          <w:rFonts w:cs="Arial"/>
          <w:snapToGrid w:val="0"/>
          <w:sz w:val="20"/>
        </w:rPr>
        <w:t>DTAG</w:t>
      </w:r>
      <w:r w:rsidRPr="003A46AA">
        <w:rPr>
          <w:rFonts w:cs="Arial"/>
          <w:snapToGrid w:val="0"/>
          <w:sz w:val="20"/>
          <w:lang w:val="hr-HR"/>
        </w:rPr>
        <w:t xml:space="preserve">).  </w:t>
      </w:r>
      <w:r w:rsidRPr="002568A7">
        <w:rPr>
          <w:rFonts w:cs="Arial"/>
          <w:snapToGrid w:val="0"/>
          <w:sz w:val="20"/>
        </w:rPr>
        <w:t>Grupa</w:t>
      </w:r>
      <w:r w:rsidRPr="003A46AA">
        <w:rPr>
          <w:rFonts w:cs="Arial"/>
          <w:snapToGrid w:val="0"/>
          <w:sz w:val="20"/>
          <w:lang w:val="hr-HR"/>
        </w:rPr>
        <w:t xml:space="preserve"> </w:t>
      </w:r>
      <w:r w:rsidRPr="002568A7">
        <w:rPr>
          <w:rFonts w:cs="Arial"/>
          <w:snapToGrid w:val="0"/>
          <w:sz w:val="20"/>
        </w:rPr>
        <w:t>ulazi</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poslovne</w:t>
      </w:r>
      <w:r w:rsidRPr="003A46AA">
        <w:rPr>
          <w:rFonts w:cs="Arial"/>
          <w:snapToGrid w:val="0"/>
          <w:sz w:val="20"/>
          <w:lang w:val="hr-HR"/>
        </w:rPr>
        <w:t xml:space="preserve"> </w:t>
      </w:r>
      <w:r w:rsidRPr="002568A7">
        <w:rPr>
          <w:rFonts w:cs="Arial"/>
          <w:snapToGrid w:val="0"/>
          <w:sz w:val="20"/>
        </w:rPr>
        <w:t>odnose</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normalnom</w:t>
      </w:r>
      <w:r w:rsidRPr="003A46AA">
        <w:rPr>
          <w:rFonts w:cs="Arial"/>
          <w:snapToGrid w:val="0"/>
          <w:sz w:val="20"/>
          <w:lang w:val="hr-HR"/>
        </w:rPr>
        <w:t xml:space="preserve"> </w:t>
      </w:r>
      <w:r w:rsidRPr="002568A7">
        <w:rPr>
          <w:rFonts w:cs="Arial"/>
          <w:snapToGrid w:val="0"/>
          <w:sz w:val="20"/>
        </w:rPr>
        <w:t>tijeku</w:t>
      </w:r>
      <w:r w:rsidRPr="003A46AA">
        <w:rPr>
          <w:rFonts w:cs="Arial"/>
          <w:snapToGrid w:val="0"/>
          <w:sz w:val="20"/>
          <w:lang w:val="hr-HR"/>
        </w:rPr>
        <w:t xml:space="preserve"> </w:t>
      </w:r>
      <w:r w:rsidRPr="002568A7">
        <w:rPr>
          <w:rFonts w:cs="Arial"/>
          <w:snapToGrid w:val="0"/>
          <w:sz w:val="20"/>
        </w:rPr>
        <w:t>posla</w:t>
      </w:r>
      <w:r w:rsidRPr="003A46AA">
        <w:rPr>
          <w:rFonts w:cs="Arial"/>
          <w:snapToGrid w:val="0"/>
          <w:sz w:val="20"/>
          <w:lang w:val="hr-HR"/>
        </w:rPr>
        <w:t xml:space="preserve"> </w:t>
      </w:r>
      <w:r w:rsidRPr="002568A7">
        <w:rPr>
          <w:rFonts w:cs="Arial"/>
          <w:snapToGrid w:val="0"/>
          <w:sz w:val="20"/>
        </w:rPr>
        <w:t>po</w:t>
      </w:r>
      <w:r w:rsidRPr="003A46AA">
        <w:rPr>
          <w:rFonts w:cs="Arial"/>
          <w:snapToGrid w:val="0"/>
          <w:sz w:val="20"/>
          <w:lang w:val="hr-HR"/>
        </w:rPr>
        <w:t xml:space="preserve"> </w:t>
      </w:r>
      <w:r w:rsidRPr="002568A7">
        <w:rPr>
          <w:rFonts w:cs="Arial"/>
          <w:snapToGrid w:val="0"/>
          <w:sz w:val="20"/>
        </w:rPr>
        <w:t>uobi</w:t>
      </w:r>
      <w:r w:rsidRPr="003A46AA">
        <w:rPr>
          <w:rFonts w:cs="Arial"/>
          <w:snapToGrid w:val="0"/>
          <w:sz w:val="20"/>
          <w:lang w:val="hr-HR"/>
        </w:rPr>
        <w:t>č</w:t>
      </w:r>
      <w:r w:rsidRPr="002568A7">
        <w:rPr>
          <w:rFonts w:cs="Arial"/>
          <w:snapToGrid w:val="0"/>
          <w:sz w:val="20"/>
        </w:rPr>
        <w:t>ajenim</w:t>
      </w:r>
      <w:r w:rsidRPr="003A46AA">
        <w:rPr>
          <w:rFonts w:cs="Arial"/>
          <w:snapToGrid w:val="0"/>
          <w:sz w:val="20"/>
          <w:lang w:val="hr-HR"/>
        </w:rPr>
        <w:t xml:space="preserve"> </w:t>
      </w:r>
      <w:r w:rsidRPr="002568A7">
        <w:rPr>
          <w:rFonts w:cs="Arial"/>
          <w:snapToGrid w:val="0"/>
          <w:sz w:val="20"/>
        </w:rPr>
        <w:t>tr</w:t>
      </w:r>
      <w:r w:rsidRPr="003A46AA">
        <w:rPr>
          <w:rFonts w:cs="Arial"/>
          <w:snapToGrid w:val="0"/>
          <w:sz w:val="20"/>
          <w:lang w:val="hr-HR"/>
        </w:rPr>
        <w:t>ž</w:t>
      </w:r>
      <w:r w:rsidRPr="002568A7">
        <w:rPr>
          <w:rFonts w:cs="Arial"/>
          <w:snapToGrid w:val="0"/>
          <w:sz w:val="20"/>
        </w:rPr>
        <w:t>i</w:t>
      </w:r>
      <w:r w:rsidRPr="003A46AA">
        <w:rPr>
          <w:rFonts w:cs="Arial"/>
          <w:snapToGrid w:val="0"/>
          <w:sz w:val="20"/>
          <w:lang w:val="hr-HR"/>
        </w:rPr>
        <w:t>š</w:t>
      </w:r>
      <w:r w:rsidRPr="002568A7">
        <w:rPr>
          <w:rFonts w:cs="Arial"/>
          <w:snapToGrid w:val="0"/>
          <w:sz w:val="20"/>
        </w:rPr>
        <w:t>nim</w:t>
      </w:r>
      <w:r w:rsidRPr="003A46AA">
        <w:rPr>
          <w:rFonts w:cs="Arial"/>
          <w:snapToGrid w:val="0"/>
          <w:sz w:val="20"/>
          <w:lang w:val="hr-HR"/>
        </w:rPr>
        <w:t xml:space="preserve"> </w:t>
      </w:r>
      <w:r w:rsidRPr="002568A7">
        <w:rPr>
          <w:rFonts w:cs="Arial"/>
          <w:snapToGrid w:val="0"/>
          <w:sz w:val="20"/>
        </w:rPr>
        <w:t>uvjetima</w:t>
      </w:r>
      <w:r w:rsidRPr="003A46AA">
        <w:rPr>
          <w:rFonts w:cs="Arial"/>
          <w:snapToGrid w:val="0"/>
          <w:sz w:val="20"/>
          <w:lang w:val="hr-HR"/>
        </w:rPr>
        <w:t xml:space="preserve">.  </w:t>
      </w:r>
      <w:r w:rsidRPr="002568A7">
        <w:rPr>
          <w:rFonts w:cs="Arial"/>
          <w:snapToGrid w:val="0"/>
          <w:sz w:val="20"/>
        </w:rPr>
        <w:t>Ovi</w:t>
      </w:r>
      <w:r w:rsidRPr="003A46AA">
        <w:rPr>
          <w:rFonts w:cs="Arial"/>
          <w:snapToGrid w:val="0"/>
          <w:sz w:val="20"/>
          <w:lang w:val="hr-HR"/>
        </w:rPr>
        <w:t xml:space="preserve"> </w:t>
      </w:r>
      <w:r w:rsidRPr="002568A7">
        <w:rPr>
          <w:rFonts w:cs="Arial"/>
          <w:snapToGrid w:val="0"/>
          <w:sz w:val="20"/>
        </w:rPr>
        <w:t>poslovni</w:t>
      </w:r>
      <w:r w:rsidRPr="003A46AA">
        <w:rPr>
          <w:rFonts w:cs="Arial"/>
          <w:snapToGrid w:val="0"/>
          <w:sz w:val="20"/>
          <w:lang w:val="hr-HR"/>
        </w:rPr>
        <w:t xml:space="preserve"> </w:t>
      </w:r>
      <w:r w:rsidRPr="002568A7">
        <w:rPr>
          <w:rFonts w:cs="Arial"/>
          <w:snapToGrid w:val="0"/>
          <w:sz w:val="20"/>
        </w:rPr>
        <w:t>odnosi</w:t>
      </w:r>
      <w:r w:rsidRPr="003A46AA">
        <w:rPr>
          <w:rFonts w:cs="Arial"/>
          <w:snapToGrid w:val="0"/>
          <w:sz w:val="20"/>
          <w:lang w:val="hr-HR"/>
        </w:rPr>
        <w:t xml:space="preserve"> </w:t>
      </w:r>
      <w:r w:rsidRPr="002568A7">
        <w:rPr>
          <w:rFonts w:cs="Arial"/>
          <w:snapToGrid w:val="0"/>
          <w:sz w:val="20"/>
        </w:rPr>
        <w:t>uklju</w:t>
      </w:r>
      <w:r w:rsidRPr="003A46AA">
        <w:rPr>
          <w:rFonts w:cs="Arial"/>
          <w:snapToGrid w:val="0"/>
          <w:sz w:val="20"/>
          <w:lang w:val="hr-HR"/>
        </w:rPr>
        <w:t>č</w:t>
      </w:r>
      <w:r w:rsidRPr="002568A7">
        <w:rPr>
          <w:rFonts w:cs="Arial"/>
          <w:snapToGrid w:val="0"/>
          <w:sz w:val="20"/>
        </w:rPr>
        <w:t>uju</w:t>
      </w:r>
      <w:r w:rsidRPr="003A46AA">
        <w:rPr>
          <w:rFonts w:cs="Arial"/>
          <w:snapToGrid w:val="0"/>
          <w:sz w:val="20"/>
          <w:lang w:val="hr-HR"/>
        </w:rPr>
        <w:t xml:space="preserve"> </w:t>
      </w:r>
      <w:r w:rsidRPr="002568A7">
        <w:rPr>
          <w:rFonts w:cs="Arial"/>
          <w:snapToGrid w:val="0"/>
          <w:sz w:val="20"/>
        </w:rPr>
        <w:t>slanje</w:t>
      </w:r>
      <w:r w:rsidRPr="003A46AA">
        <w:rPr>
          <w:rFonts w:cs="Arial"/>
          <w:snapToGrid w:val="0"/>
          <w:sz w:val="20"/>
          <w:lang w:val="hr-HR"/>
        </w:rPr>
        <w:t xml:space="preserve"> </w:t>
      </w:r>
      <w:r w:rsidRPr="002568A7">
        <w:rPr>
          <w:rFonts w:cs="Arial"/>
          <w:snapToGrid w:val="0"/>
          <w:sz w:val="20"/>
        </w:rPr>
        <w:t>i</w:t>
      </w:r>
      <w:r w:rsidRPr="003A46AA">
        <w:rPr>
          <w:rFonts w:cs="Arial"/>
          <w:snapToGrid w:val="0"/>
          <w:sz w:val="20"/>
          <w:lang w:val="hr-HR"/>
        </w:rPr>
        <w:t xml:space="preserve"> </w:t>
      </w:r>
      <w:r w:rsidRPr="002568A7">
        <w:rPr>
          <w:rFonts w:cs="Arial"/>
          <w:snapToGrid w:val="0"/>
          <w:sz w:val="20"/>
        </w:rPr>
        <w:t>primanje</w:t>
      </w:r>
      <w:r w:rsidRPr="003A46AA">
        <w:rPr>
          <w:rFonts w:cs="Arial"/>
          <w:snapToGrid w:val="0"/>
          <w:sz w:val="20"/>
          <w:lang w:val="hr-HR"/>
        </w:rPr>
        <w:t xml:space="preserve"> </w:t>
      </w:r>
      <w:r w:rsidRPr="002568A7">
        <w:rPr>
          <w:rFonts w:cs="Arial"/>
          <w:snapToGrid w:val="0"/>
          <w:sz w:val="20"/>
        </w:rPr>
        <w:t>me</w:t>
      </w:r>
      <w:r w:rsidRPr="003A46AA">
        <w:rPr>
          <w:rFonts w:cs="Arial"/>
          <w:snapToGrid w:val="0"/>
          <w:sz w:val="20"/>
          <w:lang w:val="hr-HR"/>
        </w:rPr>
        <w:t>đ</w:t>
      </w:r>
      <w:r w:rsidRPr="002568A7">
        <w:rPr>
          <w:rFonts w:cs="Arial"/>
          <w:snapToGrid w:val="0"/>
          <w:sz w:val="20"/>
        </w:rPr>
        <w:t>unarodnog</w:t>
      </w:r>
      <w:r w:rsidRPr="003A46AA">
        <w:rPr>
          <w:rFonts w:cs="Arial"/>
          <w:snapToGrid w:val="0"/>
          <w:sz w:val="20"/>
          <w:lang w:val="hr-HR"/>
        </w:rPr>
        <w:t xml:space="preserve"> </w:t>
      </w:r>
      <w:r w:rsidRPr="002568A7">
        <w:rPr>
          <w:rFonts w:cs="Arial"/>
          <w:snapToGrid w:val="0"/>
          <w:sz w:val="20"/>
        </w:rPr>
        <w:t>prometa</w:t>
      </w:r>
      <w:r w:rsidRPr="003A46AA">
        <w:rPr>
          <w:rFonts w:cs="Arial"/>
          <w:snapToGrid w:val="0"/>
          <w:sz w:val="20"/>
          <w:lang w:val="hr-HR"/>
        </w:rPr>
        <w:t xml:space="preserve"> </w:t>
      </w:r>
      <w:r w:rsidRPr="002568A7">
        <w:rPr>
          <w:rFonts w:cs="Arial"/>
          <w:snapToGrid w:val="0"/>
          <w:sz w:val="20"/>
        </w:rPr>
        <w:t>prema</w:t>
      </w:r>
      <w:r w:rsidRPr="003A46AA">
        <w:rPr>
          <w:rFonts w:cs="Arial"/>
          <w:snapToGrid w:val="0"/>
          <w:sz w:val="20"/>
          <w:lang w:val="hr-HR"/>
        </w:rPr>
        <w:t xml:space="preserve"> </w:t>
      </w:r>
      <w:r w:rsidRPr="002568A7">
        <w:rPr>
          <w:rFonts w:cs="Arial"/>
          <w:snapToGrid w:val="0"/>
          <w:sz w:val="20"/>
        </w:rPr>
        <w:t>i</w:t>
      </w:r>
      <w:r w:rsidRPr="003A46AA">
        <w:rPr>
          <w:rFonts w:cs="Arial"/>
          <w:snapToGrid w:val="0"/>
          <w:sz w:val="20"/>
          <w:lang w:val="hr-HR"/>
        </w:rPr>
        <w:t xml:space="preserve"> </w:t>
      </w:r>
      <w:r w:rsidRPr="002568A7">
        <w:rPr>
          <w:rFonts w:cs="Arial"/>
          <w:snapToGrid w:val="0"/>
          <w:sz w:val="20"/>
        </w:rPr>
        <w:t>od</w:t>
      </w:r>
      <w:r w:rsidRPr="003A46AA">
        <w:rPr>
          <w:rFonts w:cs="Arial"/>
          <w:snapToGrid w:val="0"/>
          <w:sz w:val="20"/>
          <w:lang w:val="hr-HR"/>
        </w:rPr>
        <w:t xml:space="preserve"> </w:t>
      </w:r>
      <w:r w:rsidRPr="002568A7">
        <w:rPr>
          <w:rFonts w:cs="Arial"/>
          <w:snapToGrid w:val="0"/>
          <w:sz w:val="20"/>
        </w:rPr>
        <w:t>navedenih</w:t>
      </w:r>
      <w:r w:rsidRPr="003A46AA">
        <w:rPr>
          <w:rFonts w:cs="Arial"/>
          <w:snapToGrid w:val="0"/>
          <w:sz w:val="20"/>
          <w:lang w:val="hr-HR"/>
        </w:rPr>
        <w:t xml:space="preserve"> </w:t>
      </w:r>
      <w:r w:rsidRPr="002568A7">
        <w:rPr>
          <w:rFonts w:cs="Arial"/>
          <w:snapToGrid w:val="0"/>
          <w:sz w:val="20"/>
        </w:rPr>
        <w:t>dru</w:t>
      </w:r>
      <w:r w:rsidRPr="003A46AA">
        <w:rPr>
          <w:rFonts w:cs="Arial"/>
          <w:snapToGrid w:val="0"/>
          <w:sz w:val="20"/>
          <w:lang w:val="hr-HR"/>
        </w:rPr>
        <w:t>š</w:t>
      </w:r>
      <w:r w:rsidRPr="002568A7">
        <w:rPr>
          <w:rFonts w:cs="Arial"/>
          <w:snapToGrid w:val="0"/>
          <w:sz w:val="20"/>
        </w:rPr>
        <w:t>tava</w:t>
      </w:r>
      <w:r w:rsidRPr="003A46AA">
        <w:rPr>
          <w:rFonts w:cs="Arial"/>
          <w:snapToGrid w:val="0"/>
          <w:sz w:val="20"/>
          <w:lang w:val="hr-HR"/>
        </w:rPr>
        <w:t xml:space="preserve">. </w:t>
      </w:r>
    </w:p>
    <w:p w:rsidR="003E4626" w:rsidRPr="003A46AA" w:rsidRDefault="003E4626" w:rsidP="00BA5338">
      <w:pPr>
        <w:pStyle w:val="T10"/>
        <w:rPr>
          <w:rFonts w:cs="Arial"/>
          <w:snapToGrid w:val="0"/>
          <w:sz w:val="20"/>
          <w:lang w:val="hr-HR"/>
        </w:rPr>
      </w:pPr>
      <w:r>
        <w:rPr>
          <w:rFonts w:cs="Arial"/>
          <w:snapToGrid w:val="0"/>
          <w:sz w:val="20"/>
        </w:rPr>
        <w:t>U</w:t>
      </w:r>
      <w:r w:rsidRPr="003A46AA">
        <w:rPr>
          <w:rFonts w:cs="Arial"/>
          <w:snapToGrid w:val="0"/>
          <w:sz w:val="20"/>
          <w:lang w:val="hr-HR"/>
        </w:rPr>
        <w:t xml:space="preserve"> </w:t>
      </w:r>
      <w:r>
        <w:rPr>
          <w:rFonts w:cs="Arial"/>
          <w:snapToGrid w:val="0"/>
          <w:sz w:val="20"/>
        </w:rPr>
        <w:t>prvih</w:t>
      </w:r>
      <w:r w:rsidRPr="00064AF0">
        <w:rPr>
          <w:rFonts w:cs="Arial"/>
          <w:snapToGrid w:val="0"/>
          <w:sz w:val="20"/>
          <w:lang w:val="hr-HR"/>
        </w:rPr>
        <w:t xml:space="preserve"> </w:t>
      </w:r>
      <w:r>
        <w:rPr>
          <w:rFonts w:cs="Arial"/>
          <w:snapToGrid w:val="0"/>
          <w:sz w:val="20"/>
          <w:lang w:val="hr-HR"/>
        </w:rPr>
        <w:t>devet</w:t>
      </w:r>
      <w:r w:rsidRPr="00C7600A">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3A46AA">
        <w:rPr>
          <w:rFonts w:cs="Arial"/>
          <w:snapToGrid w:val="0"/>
          <w:sz w:val="20"/>
          <w:lang w:val="hr-HR"/>
        </w:rPr>
        <w:t xml:space="preserve">. </w:t>
      </w:r>
      <w:r w:rsidRPr="002568A7">
        <w:rPr>
          <w:rFonts w:cs="Arial"/>
          <w:snapToGrid w:val="0"/>
          <w:sz w:val="20"/>
        </w:rPr>
        <w:t>godine</w:t>
      </w:r>
      <w:r w:rsidRPr="003A46AA">
        <w:rPr>
          <w:rFonts w:cs="Arial"/>
          <w:snapToGrid w:val="0"/>
          <w:sz w:val="20"/>
          <w:lang w:val="hr-HR"/>
        </w:rPr>
        <w:t xml:space="preserve"> </w:t>
      </w:r>
      <w:r w:rsidRPr="002568A7">
        <w:rPr>
          <w:rFonts w:cs="Arial"/>
          <w:snapToGrid w:val="0"/>
          <w:sz w:val="20"/>
        </w:rPr>
        <w:t>Grupa</w:t>
      </w:r>
      <w:r w:rsidRPr="003A46AA">
        <w:rPr>
          <w:rFonts w:cs="Arial"/>
          <w:snapToGrid w:val="0"/>
          <w:sz w:val="20"/>
          <w:lang w:val="hr-HR"/>
        </w:rPr>
        <w:t xml:space="preserve"> </w:t>
      </w:r>
      <w:r w:rsidRPr="002568A7">
        <w:rPr>
          <w:rFonts w:cs="Arial"/>
          <w:snapToGrid w:val="0"/>
          <w:sz w:val="20"/>
        </w:rPr>
        <w:t>je</w:t>
      </w:r>
      <w:r w:rsidRPr="003A46AA">
        <w:rPr>
          <w:rFonts w:cs="Arial"/>
          <w:snapToGrid w:val="0"/>
          <w:sz w:val="20"/>
          <w:lang w:val="hr-HR"/>
        </w:rPr>
        <w:t xml:space="preserve"> </w:t>
      </w:r>
      <w:r w:rsidRPr="002568A7">
        <w:rPr>
          <w:rFonts w:cs="Arial"/>
          <w:snapToGrid w:val="0"/>
          <w:sz w:val="20"/>
        </w:rPr>
        <w:t>ostvarila</w:t>
      </w:r>
      <w:r w:rsidRPr="003A46AA">
        <w:rPr>
          <w:rFonts w:cs="Arial"/>
          <w:snapToGrid w:val="0"/>
          <w:sz w:val="20"/>
          <w:lang w:val="hr-HR"/>
        </w:rPr>
        <w:t xml:space="preserve"> </w:t>
      </w:r>
      <w:r w:rsidRPr="002568A7">
        <w:rPr>
          <w:rFonts w:cs="Arial"/>
          <w:snapToGrid w:val="0"/>
          <w:sz w:val="20"/>
        </w:rPr>
        <w:t>ukupne</w:t>
      </w:r>
      <w:r w:rsidRPr="003A46AA">
        <w:rPr>
          <w:rFonts w:cs="Arial"/>
          <w:snapToGrid w:val="0"/>
          <w:sz w:val="20"/>
          <w:lang w:val="hr-HR"/>
        </w:rPr>
        <w:t xml:space="preserve"> </w:t>
      </w:r>
      <w:r w:rsidRPr="002568A7">
        <w:rPr>
          <w:rFonts w:cs="Arial"/>
          <w:snapToGrid w:val="0"/>
          <w:sz w:val="20"/>
        </w:rPr>
        <w:t>prihode</w:t>
      </w:r>
      <w:r w:rsidRPr="003A46AA">
        <w:rPr>
          <w:rFonts w:cs="Arial"/>
          <w:snapToGrid w:val="0"/>
          <w:sz w:val="20"/>
          <w:lang w:val="hr-HR"/>
        </w:rPr>
        <w:t xml:space="preserve"> </w:t>
      </w:r>
      <w:r w:rsidRPr="002568A7">
        <w:rPr>
          <w:rFonts w:cs="Arial"/>
          <w:snapToGrid w:val="0"/>
          <w:sz w:val="20"/>
        </w:rPr>
        <w:t>od</w:t>
      </w:r>
      <w:r w:rsidRPr="003A46AA">
        <w:rPr>
          <w:rFonts w:cs="Arial"/>
          <w:snapToGrid w:val="0"/>
          <w:sz w:val="20"/>
          <w:lang w:val="hr-HR"/>
        </w:rPr>
        <w:t xml:space="preserve"> </w:t>
      </w:r>
      <w:r w:rsidRPr="002568A7">
        <w:rPr>
          <w:rFonts w:cs="Arial"/>
          <w:snapToGrid w:val="0"/>
          <w:sz w:val="20"/>
        </w:rPr>
        <w:t>povezanih</w:t>
      </w:r>
      <w:r w:rsidRPr="003A46AA">
        <w:rPr>
          <w:rFonts w:cs="Arial"/>
          <w:snapToGrid w:val="0"/>
          <w:sz w:val="20"/>
          <w:lang w:val="hr-HR"/>
        </w:rPr>
        <w:t xml:space="preserve"> </w:t>
      </w:r>
      <w:r w:rsidRPr="002568A7">
        <w:rPr>
          <w:rFonts w:cs="Arial"/>
          <w:snapToGrid w:val="0"/>
          <w:sz w:val="20"/>
        </w:rPr>
        <w:t>poduze</w:t>
      </w:r>
      <w:r w:rsidRPr="003A46AA">
        <w:rPr>
          <w:rFonts w:cs="Arial"/>
          <w:snapToGrid w:val="0"/>
          <w:sz w:val="20"/>
          <w:lang w:val="hr-HR"/>
        </w:rPr>
        <w:t>ć</w:t>
      </w:r>
      <w:r w:rsidRPr="002568A7">
        <w:rPr>
          <w:rFonts w:cs="Arial"/>
          <w:snapToGrid w:val="0"/>
          <w:sz w:val="20"/>
        </w:rPr>
        <w:t>a</w:t>
      </w:r>
      <w:r w:rsidRPr="003A46AA">
        <w:rPr>
          <w:rFonts w:cs="Arial"/>
          <w:snapToGrid w:val="0"/>
          <w:sz w:val="20"/>
          <w:lang w:val="hr-HR"/>
        </w:rPr>
        <w:t xml:space="preserve"> </w:t>
      </w:r>
      <w:r w:rsidRPr="002568A7">
        <w:rPr>
          <w:rFonts w:cs="Arial"/>
          <w:snapToGrid w:val="0"/>
          <w:sz w:val="20"/>
        </w:rPr>
        <w:t>od</w:t>
      </w:r>
      <w:r w:rsidRPr="003A46AA">
        <w:rPr>
          <w:rFonts w:cs="Arial"/>
          <w:snapToGrid w:val="0"/>
          <w:sz w:val="20"/>
          <w:lang w:val="hr-HR"/>
        </w:rPr>
        <w:t xml:space="preserve"> </w:t>
      </w:r>
      <w:r w:rsidRPr="002568A7">
        <w:rPr>
          <w:rFonts w:cs="Arial"/>
          <w:snapToGrid w:val="0"/>
          <w:sz w:val="20"/>
        </w:rPr>
        <w:t>me</w:t>
      </w:r>
      <w:r w:rsidRPr="003A46AA">
        <w:rPr>
          <w:rFonts w:cs="Arial"/>
          <w:snapToGrid w:val="0"/>
          <w:sz w:val="20"/>
          <w:lang w:val="hr-HR"/>
        </w:rPr>
        <w:t>đ</w:t>
      </w:r>
      <w:r w:rsidRPr="002568A7">
        <w:rPr>
          <w:rFonts w:cs="Arial"/>
          <w:snapToGrid w:val="0"/>
          <w:sz w:val="20"/>
        </w:rPr>
        <w:t>unarodnih</w:t>
      </w:r>
      <w:r w:rsidRPr="003A46AA">
        <w:rPr>
          <w:rFonts w:cs="Arial"/>
          <w:snapToGrid w:val="0"/>
          <w:sz w:val="20"/>
          <w:lang w:val="hr-HR"/>
        </w:rPr>
        <w:t xml:space="preserve"> </w:t>
      </w:r>
      <w:r w:rsidRPr="002568A7">
        <w:rPr>
          <w:rFonts w:cs="Arial"/>
          <w:snapToGrid w:val="0"/>
          <w:sz w:val="20"/>
        </w:rPr>
        <w:t>obra</w:t>
      </w:r>
      <w:r w:rsidRPr="003A46AA">
        <w:rPr>
          <w:rFonts w:cs="Arial"/>
          <w:snapToGrid w:val="0"/>
          <w:sz w:val="20"/>
          <w:lang w:val="hr-HR"/>
        </w:rPr>
        <w:t>č</w:t>
      </w:r>
      <w:r w:rsidRPr="002568A7">
        <w:rPr>
          <w:rFonts w:cs="Arial"/>
          <w:snapToGrid w:val="0"/>
          <w:sz w:val="20"/>
        </w:rPr>
        <w:t>u</w:t>
      </w:r>
      <w:r>
        <w:rPr>
          <w:rFonts w:cs="Arial"/>
          <w:snapToGrid w:val="0"/>
          <w:sz w:val="20"/>
        </w:rPr>
        <w:t>na</w:t>
      </w:r>
      <w:r w:rsidRPr="003A46AA">
        <w:rPr>
          <w:rFonts w:cs="Arial"/>
          <w:snapToGrid w:val="0"/>
          <w:sz w:val="20"/>
          <w:lang w:val="hr-HR"/>
        </w:rPr>
        <w:t xml:space="preserve"> </w:t>
      </w:r>
      <w:r>
        <w:rPr>
          <w:rFonts w:cs="Arial"/>
          <w:snapToGrid w:val="0"/>
          <w:sz w:val="20"/>
        </w:rPr>
        <w:t>u</w:t>
      </w:r>
      <w:r w:rsidRPr="003A46AA">
        <w:rPr>
          <w:rFonts w:cs="Arial"/>
          <w:snapToGrid w:val="0"/>
          <w:sz w:val="20"/>
          <w:lang w:val="hr-HR"/>
        </w:rPr>
        <w:t xml:space="preserve"> </w:t>
      </w:r>
      <w:r>
        <w:rPr>
          <w:rFonts w:cs="Arial"/>
          <w:snapToGrid w:val="0"/>
          <w:sz w:val="20"/>
        </w:rPr>
        <w:t>iznosu</w:t>
      </w:r>
      <w:r w:rsidRPr="003A46AA">
        <w:rPr>
          <w:rFonts w:cs="Arial"/>
          <w:snapToGrid w:val="0"/>
          <w:sz w:val="20"/>
          <w:lang w:val="hr-HR"/>
        </w:rPr>
        <w:t xml:space="preserve"> </w:t>
      </w:r>
      <w:r>
        <w:rPr>
          <w:rFonts w:cs="Arial"/>
          <w:snapToGrid w:val="0"/>
          <w:sz w:val="20"/>
        </w:rPr>
        <w:t>od</w:t>
      </w:r>
      <w:r w:rsidRPr="003A46AA">
        <w:rPr>
          <w:rFonts w:cs="Arial"/>
          <w:snapToGrid w:val="0"/>
          <w:sz w:val="20"/>
          <w:lang w:val="hr-HR"/>
        </w:rPr>
        <w:t xml:space="preserve"> </w:t>
      </w:r>
      <w:r>
        <w:rPr>
          <w:rFonts w:cs="Arial"/>
          <w:snapToGrid w:val="0"/>
          <w:sz w:val="20"/>
          <w:lang w:val="hr-HR"/>
        </w:rPr>
        <w:t>115</w:t>
      </w:r>
      <w:r w:rsidRPr="003A46AA">
        <w:rPr>
          <w:rFonts w:cs="Arial"/>
          <w:snapToGrid w:val="0"/>
          <w:sz w:val="20"/>
          <w:lang w:val="hr-HR"/>
        </w:rPr>
        <w:t xml:space="preserve"> </w:t>
      </w:r>
      <w:r>
        <w:rPr>
          <w:rFonts w:cs="Arial"/>
          <w:snapToGrid w:val="0"/>
          <w:sz w:val="20"/>
        </w:rPr>
        <w:t>milijun</w:t>
      </w:r>
      <w:r w:rsidRPr="003A46AA">
        <w:rPr>
          <w:rFonts w:cs="Arial"/>
          <w:snapToGrid w:val="0"/>
          <w:sz w:val="20"/>
          <w:lang w:val="hr-HR"/>
        </w:rPr>
        <w:t xml:space="preserve"> </w:t>
      </w:r>
      <w:r w:rsidRPr="002568A7">
        <w:rPr>
          <w:rFonts w:cs="Arial"/>
          <w:snapToGrid w:val="0"/>
          <w:sz w:val="20"/>
        </w:rPr>
        <w:t>kuna</w:t>
      </w:r>
      <w:r w:rsidRPr="003A46AA">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3A46AA">
        <w:rPr>
          <w:rFonts w:cs="Arial"/>
          <w:snapToGrid w:val="0"/>
          <w:sz w:val="20"/>
          <w:lang w:val="hr-HR"/>
        </w:rPr>
        <w:t xml:space="preserve"> </w:t>
      </w:r>
      <w:r>
        <w:rPr>
          <w:rFonts w:cs="Arial"/>
          <w:snapToGrid w:val="0"/>
          <w:sz w:val="20"/>
        </w:rPr>
        <w:t>mjeseci</w:t>
      </w:r>
      <w:r>
        <w:rPr>
          <w:rFonts w:cs="Arial"/>
          <w:snapToGrid w:val="0"/>
          <w:sz w:val="20"/>
          <w:lang w:val="hr-HR"/>
        </w:rPr>
        <w:t xml:space="preserve"> 2010</w:t>
      </w:r>
      <w:r w:rsidRPr="003A46AA">
        <w:rPr>
          <w:rFonts w:cs="Arial"/>
          <w:snapToGrid w:val="0"/>
          <w:sz w:val="20"/>
          <w:lang w:val="hr-HR"/>
        </w:rPr>
        <w:t xml:space="preserve">. </w:t>
      </w:r>
      <w:r w:rsidRPr="0044164B">
        <w:rPr>
          <w:rFonts w:cs="Arial"/>
          <w:snapToGrid w:val="0"/>
          <w:sz w:val="20"/>
        </w:rPr>
        <w:t>godine</w:t>
      </w:r>
      <w:r>
        <w:rPr>
          <w:rFonts w:cs="Arial"/>
          <w:snapToGrid w:val="0"/>
          <w:sz w:val="20"/>
          <w:lang w:val="hr-HR"/>
        </w:rPr>
        <w:t xml:space="preserve"> 131</w:t>
      </w:r>
      <w:r w:rsidRPr="0044164B">
        <w:rPr>
          <w:rFonts w:cs="Arial"/>
          <w:snapToGrid w:val="0"/>
          <w:sz w:val="20"/>
          <w:lang w:val="hr-HR"/>
        </w:rPr>
        <w:t xml:space="preserve"> </w:t>
      </w:r>
      <w:r>
        <w:rPr>
          <w:rFonts w:cs="Arial"/>
          <w:snapToGrid w:val="0"/>
          <w:sz w:val="20"/>
        </w:rPr>
        <w:t>milijun</w:t>
      </w:r>
      <w:r w:rsidRPr="003A46AA">
        <w:rPr>
          <w:rFonts w:cs="Arial"/>
          <w:snapToGrid w:val="0"/>
          <w:sz w:val="20"/>
          <w:lang w:val="hr-HR"/>
        </w:rPr>
        <w:t xml:space="preserve"> </w:t>
      </w:r>
      <w:r w:rsidRPr="002568A7">
        <w:rPr>
          <w:rFonts w:cs="Arial"/>
          <w:snapToGrid w:val="0"/>
          <w:sz w:val="20"/>
        </w:rPr>
        <w:t>kuna</w:t>
      </w:r>
      <w:r w:rsidRPr="003A46AA">
        <w:rPr>
          <w:rFonts w:cs="Arial"/>
          <w:snapToGrid w:val="0"/>
          <w:sz w:val="20"/>
          <w:lang w:val="hr-HR"/>
        </w:rPr>
        <w:t xml:space="preserve">), </w:t>
      </w:r>
      <w:r w:rsidRPr="002568A7">
        <w:rPr>
          <w:rFonts w:cs="Arial"/>
          <w:snapToGrid w:val="0"/>
          <w:sz w:val="20"/>
        </w:rPr>
        <w:t>dok</w:t>
      </w:r>
      <w:r w:rsidRPr="003A46AA">
        <w:rPr>
          <w:rFonts w:cs="Arial"/>
          <w:snapToGrid w:val="0"/>
          <w:sz w:val="20"/>
          <w:lang w:val="hr-HR"/>
        </w:rPr>
        <w:t xml:space="preserve"> </w:t>
      </w:r>
      <w:r w:rsidRPr="002568A7">
        <w:rPr>
          <w:rFonts w:cs="Arial"/>
          <w:snapToGrid w:val="0"/>
          <w:sz w:val="20"/>
        </w:rPr>
        <w:t>su</w:t>
      </w:r>
      <w:r w:rsidRPr="003A46AA">
        <w:rPr>
          <w:rFonts w:cs="Arial"/>
          <w:snapToGrid w:val="0"/>
          <w:sz w:val="20"/>
          <w:lang w:val="hr-HR"/>
        </w:rPr>
        <w:t xml:space="preserve"> </w:t>
      </w:r>
      <w:r w:rsidRPr="002568A7">
        <w:rPr>
          <w:rFonts w:cs="Arial"/>
          <w:snapToGrid w:val="0"/>
          <w:sz w:val="20"/>
        </w:rPr>
        <w:t>ukupni</w:t>
      </w:r>
      <w:r w:rsidRPr="003A46AA">
        <w:rPr>
          <w:rFonts w:cs="Arial"/>
          <w:snapToGrid w:val="0"/>
          <w:sz w:val="20"/>
          <w:lang w:val="hr-HR"/>
        </w:rPr>
        <w:t xml:space="preserve"> </w:t>
      </w:r>
      <w:r w:rsidRPr="002568A7">
        <w:rPr>
          <w:rFonts w:cs="Arial"/>
          <w:snapToGrid w:val="0"/>
          <w:sz w:val="20"/>
        </w:rPr>
        <w:t>tro</w:t>
      </w:r>
      <w:r w:rsidRPr="003A46AA">
        <w:rPr>
          <w:rFonts w:cs="Arial"/>
          <w:snapToGrid w:val="0"/>
          <w:sz w:val="20"/>
          <w:lang w:val="hr-HR"/>
        </w:rPr>
        <w:t>š</w:t>
      </w:r>
      <w:r w:rsidRPr="002568A7">
        <w:rPr>
          <w:rFonts w:cs="Arial"/>
          <w:snapToGrid w:val="0"/>
          <w:sz w:val="20"/>
        </w:rPr>
        <w:t>kovi</w:t>
      </w:r>
      <w:r w:rsidRPr="003A46AA">
        <w:rPr>
          <w:rFonts w:cs="Arial"/>
          <w:snapToGrid w:val="0"/>
          <w:sz w:val="20"/>
          <w:lang w:val="hr-HR"/>
        </w:rPr>
        <w:t xml:space="preserve"> </w:t>
      </w:r>
      <w:r w:rsidRPr="002568A7">
        <w:rPr>
          <w:rFonts w:cs="Arial"/>
          <w:snapToGrid w:val="0"/>
          <w:sz w:val="20"/>
        </w:rPr>
        <w:t>od</w:t>
      </w:r>
      <w:r w:rsidRPr="003A46AA">
        <w:rPr>
          <w:rFonts w:cs="Arial"/>
          <w:snapToGrid w:val="0"/>
          <w:sz w:val="20"/>
          <w:lang w:val="hr-HR"/>
        </w:rPr>
        <w:t xml:space="preserve"> </w:t>
      </w:r>
      <w:r w:rsidRPr="002568A7">
        <w:rPr>
          <w:rFonts w:cs="Arial"/>
          <w:snapToGrid w:val="0"/>
          <w:sz w:val="20"/>
        </w:rPr>
        <w:t>me</w:t>
      </w:r>
      <w:r w:rsidRPr="003A46AA">
        <w:rPr>
          <w:rFonts w:cs="Arial"/>
          <w:snapToGrid w:val="0"/>
          <w:sz w:val="20"/>
          <w:lang w:val="hr-HR"/>
        </w:rPr>
        <w:t>đ</w:t>
      </w:r>
      <w:r>
        <w:rPr>
          <w:rFonts w:cs="Arial"/>
          <w:snapToGrid w:val="0"/>
          <w:sz w:val="20"/>
        </w:rPr>
        <w:t>unarodnog</w:t>
      </w:r>
      <w:r w:rsidRPr="003A46AA">
        <w:rPr>
          <w:rFonts w:cs="Arial"/>
          <w:snapToGrid w:val="0"/>
          <w:sz w:val="20"/>
          <w:lang w:val="hr-HR"/>
        </w:rPr>
        <w:t xml:space="preserve"> </w:t>
      </w:r>
      <w:r>
        <w:rPr>
          <w:rFonts w:cs="Arial"/>
          <w:snapToGrid w:val="0"/>
          <w:sz w:val="20"/>
        </w:rPr>
        <w:t>prometa</w:t>
      </w:r>
      <w:r w:rsidRPr="003A46AA">
        <w:rPr>
          <w:rFonts w:cs="Arial"/>
          <w:snapToGrid w:val="0"/>
          <w:sz w:val="20"/>
          <w:lang w:val="hr-HR"/>
        </w:rPr>
        <w:t xml:space="preserve"> </w:t>
      </w:r>
      <w:r>
        <w:rPr>
          <w:rFonts w:cs="Arial"/>
          <w:snapToGrid w:val="0"/>
          <w:sz w:val="20"/>
        </w:rPr>
        <w:t>iznosili</w:t>
      </w:r>
      <w:r w:rsidRPr="003A46AA">
        <w:rPr>
          <w:rFonts w:cs="Arial"/>
          <w:snapToGrid w:val="0"/>
          <w:sz w:val="20"/>
          <w:lang w:val="hr-HR"/>
        </w:rPr>
        <w:t xml:space="preserve"> </w:t>
      </w:r>
      <w:r>
        <w:rPr>
          <w:rFonts w:cs="Arial"/>
          <w:snapToGrid w:val="0"/>
          <w:sz w:val="20"/>
          <w:lang w:val="hr-HR"/>
        </w:rPr>
        <w:t>72</w:t>
      </w:r>
      <w:r w:rsidRPr="003A46AA">
        <w:rPr>
          <w:rFonts w:cs="Arial"/>
          <w:snapToGrid w:val="0"/>
          <w:sz w:val="20"/>
          <w:lang w:val="hr-HR"/>
        </w:rPr>
        <w:t xml:space="preserve"> </w:t>
      </w:r>
      <w:r w:rsidRPr="002568A7">
        <w:rPr>
          <w:rFonts w:cs="Arial"/>
          <w:snapToGrid w:val="0"/>
          <w:sz w:val="20"/>
        </w:rPr>
        <w:t>milijuna</w:t>
      </w:r>
      <w:r w:rsidRPr="003A46AA">
        <w:rPr>
          <w:rFonts w:cs="Arial"/>
          <w:snapToGrid w:val="0"/>
          <w:sz w:val="20"/>
          <w:lang w:val="hr-HR"/>
        </w:rPr>
        <w:t xml:space="preserve"> </w:t>
      </w:r>
      <w:r w:rsidRPr="002568A7">
        <w:rPr>
          <w:rFonts w:cs="Arial"/>
          <w:snapToGrid w:val="0"/>
          <w:sz w:val="20"/>
        </w:rPr>
        <w:t>kuna</w:t>
      </w:r>
      <w:r w:rsidRPr="003A46AA">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3A46AA">
        <w:rPr>
          <w:rFonts w:cs="Arial"/>
          <w:snapToGrid w:val="0"/>
          <w:sz w:val="20"/>
          <w:lang w:val="hr-HR"/>
        </w:rPr>
        <w:t xml:space="preserve"> </w:t>
      </w:r>
      <w:r>
        <w:rPr>
          <w:rFonts w:cs="Arial"/>
          <w:snapToGrid w:val="0"/>
          <w:sz w:val="20"/>
        </w:rPr>
        <w:t>mjeseci</w:t>
      </w:r>
      <w:r>
        <w:rPr>
          <w:rFonts w:cs="Arial"/>
          <w:snapToGrid w:val="0"/>
          <w:sz w:val="20"/>
          <w:lang w:val="hr-HR"/>
        </w:rPr>
        <w:t xml:space="preserve"> 2010</w:t>
      </w:r>
      <w:r w:rsidRPr="003A46AA">
        <w:rPr>
          <w:rFonts w:cs="Arial"/>
          <w:snapToGrid w:val="0"/>
          <w:sz w:val="20"/>
          <w:lang w:val="hr-HR"/>
        </w:rPr>
        <w:t xml:space="preserve">. </w:t>
      </w:r>
      <w:r>
        <w:rPr>
          <w:rFonts w:cs="Arial"/>
          <w:snapToGrid w:val="0"/>
          <w:sz w:val="20"/>
        </w:rPr>
        <w:t>godine</w:t>
      </w:r>
      <w:r>
        <w:rPr>
          <w:rFonts w:cs="Arial"/>
          <w:snapToGrid w:val="0"/>
          <w:sz w:val="20"/>
          <w:lang w:val="hr-HR"/>
        </w:rPr>
        <w:t xml:space="preserve"> 95</w:t>
      </w:r>
      <w:r w:rsidRPr="003A46AA">
        <w:rPr>
          <w:rFonts w:cs="Arial"/>
          <w:snapToGrid w:val="0"/>
          <w:sz w:val="20"/>
          <w:lang w:val="hr-HR"/>
        </w:rPr>
        <w:t xml:space="preserve"> </w:t>
      </w:r>
      <w:r w:rsidRPr="002568A7">
        <w:rPr>
          <w:rFonts w:cs="Arial"/>
          <w:snapToGrid w:val="0"/>
          <w:sz w:val="20"/>
        </w:rPr>
        <w:t>milijuna</w:t>
      </w:r>
      <w:r w:rsidRPr="003A46AA">
        <w:rPr>
          <w:rFonts w:cs="Arial"/>
          <w:snapToGrid w:val="0"/>
          <w:sz w:val="20"/>
          <w:lang w:val="hr-HR"/>
        </w:rPr>
        <w:t xml:space="preserve"> </w:t>
      </w:r>
      <w:r w:rsidRPr="002568A7">
        <w:rPr>
          <w:rFonts w:cs="Arial"/>
          <w:snapToGrid w:val="0"/>
          <w:sz w:val="20"/>
        </w:rPr>
        <w:t>kuna</w:t>
      </w:r>
      <w:r w:rsidRPr="008C4391">
        <w:rPr>
          <w:rFonts w:cs="Arial"/>
          <w:snapToGrid w:val="0"/>
          <w:sz w:val="20"/>
          <w:lang w:val="hr-HR"/>
        </w:rPr>
        <w:t>)</w:t>
      </w:r>
      <w:r w:rsidRPr="003A46AA">
        <w:rPr>
          <w:rFonts w:cs="Arial"/>
          <w:snapToGrid w:val="0"/>
          <w:sz w:val="20"/>
          <w:lang w:val="hr-HR"/>
        </w:rPr>
        <w:t>.</w:t>
      </w:r>
    </w:p>
    <w:p w:rsidR="003E4626" w:rsidRPr="003A46AA" w:rsidRDefault="003E4626" w:rsidP="00BA5338">
      <w:pPr>
        <w:pStyle w:val="T10"/>
        <w:rPr>
          <w:rFonts w:cs="Arial"/>
          <w:snapToGrid w:val="0"/>
          <w:sz w:val="20"/>
          <w:lang w:val="hr-HR"/>
        </w:rPr>
      </w:pPr>
      <w:r>
        <w:rPr>
          <w:rFonts w:cs="Arial"/>
          <w:snapToGrid w:val="0"/>
          <w:sz w:val="20"/>
        </w:rPr>
        <w:t>Dru</w:t>
      </w:r>
      <w:r w:rsidRPr="003A46AA">
        <w:rPr>
          <w:rFonts w:cs="Arial"/>
          <w:snapToGrid w:val="0"/>
          <w:sz w:val="20"/>
          <w:lang w:val="hr-HR"/>
        </w:rPr>
        <w:t>š</w:t>
      </w:r>
      <w:r>
        <w:rPr>
          <w:rFonts w:cs="Arial"/>
          <w:snapToGrid w:val="0"/>
          <w:sz w:val="20"/>
        </w:rPr>
        <w:t>tva</w:t>
      </w:r>
      <w:r w:rsidRPr="003A46AA">
        <w:rPr>
          <w:rFonts w:cs="Arial"/>
          <w:snapToGrid w:val="0"/>
          <w:sz w:val="20"/>
          <w:lang w:val="hr-HR"/>
        </w:rPr>
        <w:t xml:space="preserve"> </w:t>
      </w:r>
      <w:r>
        <w:rPr>
          <w:rFonts w:cs="Arial"/>
          <w:snapToGrid w:val="0"/>
          <w:sz w:val="20"/>
        </w:rPr>
        <w:t>DTAG</w:t>
      </w:r>
      <w:r w:rsidRPr="003A46AA">
        <w:rPr>
          <w:rFonts w:cs="Arial"/>
          <w:snapToGrid w:val="0"/>
          <w:sz w:val="20"/>
          <w:lang w:val="hr-HR"/>
        </w:rPr>
        <w:t>-</w:t>
      </w:r>
      <w:r>
        <w:rPr>
          <w:rFonts w:cs="Arial"/>
          <w:snapToGrid w:val="0"/>
          <w:sz w:val="20"/>
        </w:rPr>
        <w:t>a</w:t>
      </w:r>
      <w:r w:rsidRPr="003A46AA">
        <w:rPr>
          <w:rFonts w:cs="Arial"/>
          <w:snapToGrid w:val="0"/>
          <w:sz w:val="20"/>
          <w:lang w:val="hr-HR"/>
        </w:rPr>
        <w:t xml:space="preserve"> </w:t>
      </w:r>
      <w:r>
        <w:rPr>
          <w:rFonts w:cs="Arial"/>
          <w:snapToGrid w:val="0"/>
          <w:sz w:val="20"/>
        </w:rPr>
        <w:t>pru</w:t>
      </w:r>
      <w:r w:rsidRPr="003A46AA">
        <w:rPr>
          <w:rFonts w:cs="Arial"/>
          <w:snapToGrid w:val="0"/>
          <w:sz w:val="20"/>
          <w:lang w:val="hr-HR"/>
        </w:rPr>
        <w:t>ž</w:t>
      </w:r>
      <w:r>
        <w:rPr>
          <w:rFonts w:cs="Arial"/>
          <w:snapToGrid w:val="0"/>
          <w:sz w:val="20"/>
        </w:rPr>
        <w:t>ila</w:t>
      </w:r>
      <w:r w:rsidRPr="003A46AA">
        <w:rPr>
          <w:rFonts w:cs="Arial"/>
          <w:snapToGrid w:val="0"/>
          <w:sz w:val="20"/>
          <w:lang w:val="hr-HR"/>
        </w:rPr>
        <w:t xml:space="preserve"> </w:t>
      </w:r>
      <w:r>
        <w:rPr>
          <w:rFonts w:cs="Arial"/>
          <w:snapToGrid w:val="0"/>
          <w:sz w:val="20"/>
        </w:rPr>
        <w:t>su</w:t>
      </w:r>
      <w:r w:rsidRPr="003A46AA">
        <w:rPr>
          <w:rFonts w:cs="Arial"/>
          <w:snapToGrid w:val="0"/>
          <w:sz w:val="20"/>
          <w:lang w:val="hr-HR"/>
        </w:rPr>
        <w:t xml:space="preserve"> </w:t>
      </w:r>
      <w:r w:rsidRPr="002568A7">
        <w:rPr>
          <w:rFonts w:cs="Arial"/>
          <w:snapToGrid w:val="0"/>
          <w:sz w:val="20"/>
        </w:rPr>
        <w:t>intelektualne</w:t>
      </w:r>
      <w:r w:rsidRPr="003A46AA">
        <w:rPr>
          <w:rFonts w:cs="Arial"/>
          <w:snapToGrid w:val="0"/>
          <w:sz w:val="20"/>
          <w:lang w:val="hr-HR"/>
        </w:rPr>
        <w:t xml:space="preserve"> </w:t>
      </w:r>
      <w:r w:rsidRPr="002568A7">
        <w:rPr>
          <w:rFonts w:cs="Arial"/>
          <w:snapToGrid w:val="0"/>
          <w:sz w:val="20"/>
        </w:rPr>
        <w:t>usluge</w:t>
      </w:r>
      <w:r w:rsidRPr="003A46AA">
        <w:rPr>
          <w:rFonts w:cs="Arial"/>
          <w:snapToGrid w:val="0"/>
          <w:sz w:val="20"/>
          <w:lang w:val="hr-HR"/>
        </w:rPr>
        <w:t xml:space="preserve"> </w:t>
      </w:r>
      <w:r w:rsidRPr="002568A7">
        <w:rPr>
          <w:rFonts w:cs="Arial"/>
          <w:snapToGrid w:val="0"/>
          <w:sz w:val="20"/>
        </w:rPr>
        <w:t>Grupi</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sidRPr="002568A7">
        <w:rPr>
          <w:rFonts w:cs="Arial"/>
          <w:snapToGrid w:val="0"/>
          <w:sz w:val="20"/>
        </w:rPr>
        <w:t>vrijednosti</w:t>
      </w:r>
      <w:r w:rsidRPr="003A46AA">
        <w:rPr>
          <w:rFonts w:cs="Arial"/>
          <w:snapToGrid w:val="0"/>
          <w:sz w:val="20"/>
          <w:lang w:val="hr-HR"/>
        </w:rPr>
        <w:t xml:space="preserve"> </w:t>
      </w:r>
      <w:r w:rsidRPr="002568A7">
        <w:rPr>
          <w:rFonts w:cs="Arial"/>
          <w:snapToGrid w:val="0"/>
          <w:sz w:val="20"/>
        </w:rPr>
        <w:t>od</w:t>
      </w:r>
      <w:r>
        <w:rPr>
          <w:rFonts w:cs="Arial"/>
          <w:snapToGrid w:val="0"/>
          <w:sz w:val="20"/>
          <w:lang w:val="hr-HR"/>
        </w:rPr>
        <w:t xml:space="preserve"> 7</w:t>
      </w:r>
      <w:r w:rsidRPr="003A46AA">
        <w:rPr>
          <w:rFonts w:cs="Arial"/>
          <w:snapToGrid w:val="0"/>
          <w:sz w:val="20"/>
          <w:lang w:val="hr-HR"/>
        </w:rPr>
        <w:t xml:space="preserve"> </w:t>
      </w:r>
      <w:r w:rsidRPr="002568A7">
        <w:rPr>
          <w:rFonts w:cs="Arial"/>
          <w:snapToGrid w:val="0"/>
          <w:sz w:val="20"/>
        </w:rPr>
        <w:t>milijuna</w:t>
      </w:r>
      <w:r w:rsidRPr="003A46AA">
        <w:rPr>
          <w:rFonts w:cs="Arial"/>
          <w:snapToGrid w:val="0"/>
          <w:sz w:val="20"/>
          <w:lang w:val="hr-HR"/>
        </w:rPr>
        <w:t xml:space="preserve"> </w:t>
      </w:r>
      <w:r w:rsidRPr="002568A7">
        <w:rPr>
          <w:rFonts w:cs="Arial"/>
          <w:snapToGrid w:val="0"/>
          <w:sz w:val="20"/>
        </w:rPr>
        <w:t>kuna</w:t>
      </w:r>
      <w:r w:rsidRPr="003A46AA">
        <w:rPr>
          <w:rFonts w:cs="Arial"/>
          <w:snapToGrid w:val="0"/>
          <w:sz w:val="20"/>
          <w:lang w:val="hr-HR"/>
        </w:rPr>
        <w:t xml:space="preserve"> </w:t>
      </w:r>
      <w:r w:rsidRPr="002568A7">
        <w:rPr>
          <w:rFonts w:cs="Arial"/>
          <w:snapToGrid w:val="0"/>
          <w:sz w:val="20"/>
        </w:rPr>
        <w:t>u</w:t>
      </w:r>
      <w:r w:rsidRPr="003A46AA">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3A46AA">
        <w:rPr>
          <w:rFonts w:cs="Arial"/>
          <w:snapToGrid w:val="0"/>
          <w:sz w:val="20"/>
          <w:lang w:val="hr-HR"/>
        </w:rPr>
        <w:t xml:space="preserve"> </w:t>
      </w:r>
      <w:r>
        <w:rPr>
          <w:rFonts w:cs="Arial"/>
          <w:snapToGrid w:val="0"/>
          <w:sz w:val="20"/>
        </w:rPr>
        <w:t>mjeseci</w:t>
      </w:r>
      <w:r w:rsidRPr="00C7600A">
        <w:rPr>
          <w:rFonts w:cs="Arial"/>
          <w:snapToGrid w:val="0"/>
          <w:sz w:val="20"/>
          <w:lang w:val="hr-HR"/>
        </w:rPr>
        <w:t xml:space="preserve"> </w:t>
      </w:r>
      <w:r>
        <w:rPr>
          <w:rFonts w:cs="Arial"/>
          <w:snapToGrid w:val="0"/>
          <w:sz w:val="20"/>
          <w:lang w:val="hr-HR"/>
        </w:rPr>
        <w:t>2011</w:t>
      </w:r>
      <w:r w:rsidRPr="003A46AA">
        <w:rPr>
          <w:rFonts w:cs="Arial"/>
          <w:snapToGrid w:val="0"/>
          <w:sz w:val="20"/>
          <w:lang w:val="hr-HR"/>
        </w:rPr>
        <w:t xml:space="preserve">. </w:t>
      </w:r>
      <w:r w:rsidRPr="002568A7">
        <w:rPr>
          <w:rFonts w:cs="Arial"/>
          <w:snapToGrid w:val="0"/>
          <w:sz w:val="20"/>
        </w:rPr>
        <w:t>godine</w:t>
      </w:r>
      <w:r w:rsidRPr="003A46AA">
        <w:rPr>
          <w:rFonts w:cs="Arial"/>
          <w:snapToGrid w:val="0"/>
          <w:sz w:val="20"/>
          <w:lang w:val="hr-HR"/>
        </w:rPr>
        <w:t xml:space="preserve"> (</w:t>
      </w:r>
      <w:r>
        <w:rPr>
          <w:rFonts w:cs="Arial"/>
          <w:snapToGrid w:val="0"/>
          <w:sz w:val="20"/>
        </w:rPr>
        <w:t>prvih</w:t>
      </w:r>
      <w:r w:rsidRPr="00064AF0">
        <w:rPr>
          <w:rFonts w:cs="Arial"/>
          <w:snapToGrid w:val="0"/>
          <w:sz w:val="20"/>
          <w:lang w:val="hr-HR"/>
        </w:rPr>
        <w:t xml:space="preserve"> </w:t>
      </w:r>
      <w:r>
        <w:rPr>
          <w:rFonts w:cs="Arial"/>
          <w:snapToGrid w:val="0"/>
          <w:sz w:val="20"/>
          <w:lang w:val="hr-HR"/>
        </w:rPr>
        <w:t>devet</w:t>
      </w:r>
      <w:r w:rsidRPr="003A46AA">
        <w:rPr>
          <w:rFonts w:cs="Arial"/>
          <w:snapToGrid w:val="0"/>
          <w:sz w:val="20"/>
          <w:lang w:val="hr-HR"/>
        </w:rPr>
        <w:t xml:space="preserve"> </w:t>
      </w:r>
      <w:r>
        <w:rPr>
          <w:rFonts w:cs="Arial"/>
          <w:snapToGrid w:val="0"/>
          <w:sz w:val="20"/>
        </w:rPr>
        <w:t>mjeseci</w:t>
      </w:r>
      <w:r>
        <w:rPr>
          <w:rFonts w:cs="Arial"/>
          <w:snapToGrid w:val="0"/>
          <w:sz w:val="20"/>
          <w:lang w:val="hr-HR"/>
        </w:rPr>
        <w:t xml:space="preserve"> 2010</w:t>
      </w:r>
      <w:r w:rsidRPr="003A46AA">
        <w:rPr>
          <w:rFonts w:cs="Arial"/>
          <w:snapToGrid w:val="0"/>
          <w:sz w:val="20"/>
          <w:lang w:val="hr-HR"/>
        </w:rPr>
        <w:t xml:space="preserve">. </w:t>
      </w:r>
      <w:r>
        <w:rPr>
          <w:rFonts w:cs="Arial"/>
          <w:snapToGrid w:val="0"/>
          <w:sz w:val="20"/>
        </w:rPr>
        <w:t>godine</w:t>
      </w:r>
      <w:r>
        <w:rPr>
          <w:rFonts w:cs="Arial"/>
          <w:snapToGrid w:val="0"/>
          <w:sz w:val="20"/>
          <w:lang w:val="hr-HR"/>
        </w:rPr>
        <w:t xml:space="preserve"> 8</w:t>
      </w:r>
      <w:r w:rsidRPr="003A46AA">
        <w:rPr>
          <w:rFonts w:cs="Arial"/>
          <w:snapToGrid w:val="0"/>
          <w:sz w:val="20"/>
          <w:lang w:val="hr-HR"/>
        </w:rPr>
        <w:t xml:space="preserve"> </w:t>
      </w:r>
      <w:r w:rsidRPr="002568A7">
        <w:rPr>
          <w:rFonts w:cs="Arial"/>
          <w:snapToGrid w:val="0"/>
          <w:sz w:val="20"/>
        </w:rPr>
        <w:t>milijuna</w:t>
      </w:r>
      <w:r w:rsidRPr="003A46AA">
        <w:rPr>
          <w:rFonts w:cs="Arial"/>
          <w:snapToGrid w:val="0"/>
          <w:sz w:val="20"/>
          <w:lang w:val="hr-HR"/>
        </w:rPr>
        <w:t xml:space="preserve"> </w:t>
      </w:r>
      <w:r w:rsidRPr="002568A7">
        <w:rPr>
          <w:rFonts w:cs="Arial"/>
          <w:snapToGrid w:val="0"/>
          <w:sz w:val="20"/>
        </w:rPr>
        <w:t>kuna</w:t>
      </w:r>
      <w:r w:rsidRPr="003A46AA">
        <w:rPr>
          <w:rFonts w:cs="Arial"/>
          <w:snapToGrid w:val="0"/>
          <w:sz w:val="20"/>
          <w:lang w:val="hr-HR"/>
        </w:rPr>
        <w:t>).</w:t>
      </w:r>
    </w:p>
    <w:p w:rsidR="003E4626" w:rsidRDefault="003E4626" w:rsidP="00BA5338">
      <w:pPr>
        <w:pStyle w:val="T10"/>
        <w:rPr>
          <w:rFonts w:cs="Arial"/>
          <w:i/>
          <w:snapToGrid w:val="0"/>
          <w:sz w:val="20"/>
        </w:rPr>
      </w:pPr>
    </w:p>
    <w:p w:rsidR="003E4626" w:rsidRPr="00B87759" w:rsidRDefault="003E4626" w:rsidP="00BA5338">
      <w:pPr>
        <w:pStyle w:val="T10"/>
        <w:rPr>
          <w:rFonts w:cs="Arial"/>
          <w:i/>
          <w:snapToGrid w:val="0"/>
          <w:sz w:val="20"/>
          <w:lang w:val="hr-HR"/>
        </w:rPr>
      </w:pPr>
      <w:r w:rsidRPr="00B87759">
        <w:rPr>
          <w:rFonts w:cs="Arial"/>
          <w:i/>
          <w:snapToGrid w:val="0"/>
          <w:sz w:val="20"/>
        </w:rPr>
        <w:t>Naknade</w:t>
      </w:r>
      <w:r w:rsidRPr="00B87759">
        <w:rPr>
          <w:rFonts w:cs="Arial"/>
          <w:i/>
          <w:snapToGrid w:val="0"/>
          <w:sz w:val="20"/>
          <w:lang w:val="hr-HR"/>
        </w:rPr>
        <w:t xml:space="preserve"> č</w:t>
      </w:r>
      <w:r w:rsidRPr="00B87759">
        <w:rPr>
          <w:rFonts w:cs="Arial"/>
          <w:i/>
          <w:snapToGrid w:val="0"/>
          <w:sz w:val="20"/>
        </w:rPr>
        <w:t>lanovima</w:t>
      </w:r>
      <w:r w:rsidRPr="00B87759">
        <w:rPr>
          <w:rFonts w:cs="Arial"/>
          <w:i/>
          <w:snapToGrid w:val="0"/>
          <w:sz w:val="20"/>
          <w:lang w:val="hr-HR"/>
        </w:rPr>
        <w:t xml:space="preserve"> </w:t>
      </w:r>
      <w:r w:rsidRPr="00B87759">
        <w:rPr>
          <w:rFonts w:cs="Arial"/>
          <w:i/>
          <w:snapToGrid w:val="0"/>
          <w:sz w:val="20"/>
        </w:rPr>
        <w:t>Nadzornog</w:t>
      </w:r>
      <w:r w:rsidRPr="00B87759">
        <w:rPr>
          <w:rFonts w:cs="Arial"/>
          <w:i/>
          <w:snapToGrid w:val="0"/>
          <w:sz w:val="20"/>
          <w:lang w:val="hr-HR"/>
        </w:rPr>
        <w:t xml:space="preserve"> </w:t>
      </w:r>
      <w:r w:rsidRPr="00B87759">
        <w:rPr>
          <w:rFonts w:cs="Arial"/>
          <w:i/>
          <w:snapToGrid w:val="0"/>
          <w:sz w:val="20"/>
        </w:rPr>
        <w:t>Odbora</w:t>
      </w:r>
    </w:p>
    <w:p w:rsidR="003E4626" w:rsidRPr="00080FAF" w:rsidRDefault="003E4626" w:rsidP="00BA5338">
      <w:pPr>
        <w:pStyle w:val="T10"/>
        <w:rPr>
          <w:rFonts w:cs="Arial"/>
          <w:lang w:val="hr-HR"/>
        </w:rPr>
      </w:pPr>
      <w:r w:rsidRPr="00B04E3E">
        <w:rPr>
          <w:rFonts w:cs="Arial"/>
        </w:rPr>
        <w:t>Prema</w:t>
      </w:r>
      <w:r w:rsidRPr="00080FAF">
        <w:rPr>
          <w:rFonts w:cs="Arial"/>
          <w:lang w:val="hr-HR"/>
        </w:rPr>
        <w:t xml:space="preserve"> </w:t>
      </w:r>
      <w:r w:rsidRPr="00B04E3E">
        <w:rPr>
          <w:rFonts w:cs="Arial"/>
        </w:rPr>
        <w:t>odredbi</w:t>
      </w:r>
      <w:r w:rsidRPr="00080FAF">
        <w:rPr>
          <w:rFonts w:cs="Arial"/>
          <w:lang w:val="hr-HR"/>
        </w:rPr>
        <w:t xml:space="preserve"> </w:t>
      </w:r>
      <w:r w:rsidRPr="00B04E3E">
        <w:rPr>
          <w:rFonts w:cs="Arial"/>
        </w:rPr>
        <w:t>Dru</w:t>
      </w:r>
      <w:r w:rsidRPr="00080FAF">
        <w:rPr>
          <w:rFonts w:cs="Arial"/>
          <w:lang w:val="hr-HR"/>
        </w:rPr>
        <w:t>š</w:t>
      </w:r>
      <w:r w:rsidRPr="00B04E3E">
        <w:rPr>
          <w:rFonts w:cs="Arial"/>
        </w:rPr>
        <w:t>tva</w:t>
      </w:r>
      <w:r w:rsidRPr="00080FAF">
        <w:rPr>
          <w:rFonts w:cs="Arial"/>
          <w:lang w:val="hr-HR"/>
        </w:rPr>
        <w:t xml:space="preserve">, </w:t>
      </w:r>
      <w:r w:rsidRPr="00B04E3E">
        <w:rPr>
          <w:rFonts w:cs="Arial"/>
        </w:rPr>
        <w:t>predsjednik</w:t>
      </w:r>
      <w:r w:rsidRPr="00080FAF">
        <w:rPr>
          <w:rFonts w:cs="Arial"/>
          <w:lang w:val="hr-HR"/>
        </w:rPr>
        <w:t xml:space="preserve"> </w:t>
      </w:r>
      <w:r w:rsidRPr="00B04E3E">
        <w:rPr>
          <w:rFonts w:cs="Arial"/>
        </w:rPr>
        <w:t>Nadzornog</w:t>
      </w:r>
      <w:r w:rsidRPr="00080FAF">
        <w:rPr>
          <w:rFonts w:cs="Arial"/>
          <w:lang w:val="hr-HR"/>
        </w:rPr>
        <w:t xml:space="preserve"> </w:t>
      </w:r>
      <w:r w:rsidRPr="00B04E3E">
        <w:rPr>
          <w:rFonts w:cs="Arial"/>
        </w:rPr>
        <w:t>odbora</w:t>
      </w:r>
      <w:r w:rsidRPr="00080FAF">
        <w:rPr>
          <w:rFonts w:cs="Arial"/>
          <w:lang w:val="hr-HR"/>
        </w:rPr>
        <w:t xml:space="preserve"> </w:t>
      </w:r>
      <w:r w:rsidRPr="00B04E3E">
        <w:rPr>
          <w:rFonts w:cs="Arial"/>
        </w:rPr>
        <w:t>prima</w:t>
      </w:r>
      <w:r w:rsidRPr="00080FAF">
        <w:rPr>
          <w:rFonts w:cs="Arial"/>
          <w:lang w:val="hr-HR"/>
        </w:rPr>
        <w:t xml:space="preserve"> </w:t>
      </w:r>
      <w:r w:rsidRPr="00B04E3E">
        <w:rPr>
          <w:rFonts w:cs="Arial"/>
        </w:rPr>
        <w:t>naknadu</w:t>
      </w:r>
      <w:r w:rsidRPr="00080FAF">
        <w:rPr>
          <w:rFonts w:cs="Arial"/>
          <w:lang w:val="hr-HR"/>
        </w:rPr>
        <w:t xml:space="preserve"> </w:t>
      </w:r>
      <w:r w:rsidRPr="00B04E3E">
        <w:rPr>
          <w:rFonts w:cs="Arial"/>
        </w:rPr>
        <w:t>u</w:t>
      </w:r>
      <w:r w:rsidRPr="00080FAF">
        <w:rPr>
          <w:rFonts w:cs="Arial"/>
          <w:lang w:val="hr-HR"/>
        </w:rPr>
        <w:t xml:space="preserve"> </w:t>
      </w:r>
      <w:r w:rsidRPr="00B04E3E">
        <w:rPr>
          <w:rFonts w:cs="Arial"/>
        </w:rPr>
        <w:t>iznosu</w:t>
      </w:r>
      <w:r w:rsidRPr="00080FAF">
        <w:rPr>
          <w:rFonts w:cs="Arial"/>
          <w:lang w:val="hr-HR"/>
        </w:rPr>
        <w:t xml:space="preserve"> </w:t>
      </w:r>
      <w:r w:rsidRPr="00B04E3E">
        <w:rPr>
          <w:rFonts w:cs="Arial"/>
        </w:rPr>
        <w:t>od</w:t>
      </w:r>
      <w:r w:rsidRPr="00080FAF">
        <w:rPr>
          <w:rFonts w:cs="Arial"/>
          <w:lang w:val="hr-HR"/>
        </w:rPr>
        <w:t xml:space="preserve"> 1,5 </w:t>
      </w:r>
      <w:r w:rsidRPr="00B04E3E">
        <w:rPr>
          <w:rFonts w:cs="Arial"/>
        </w:rPr>
        <w:t>prosje</w:t>
      </w:r>
      <w:r w:rsidRPr="00080FAF">
        <w:rPr>
          <w:rFonts w:cs="Arial"/>
          <w:lang w:val="hr-HR"/>
        </w:rPr>
        <w:t>č</w:t>
      </w:r>
      <w:r w:rsidRPr="00B04E3E">
        <w:rPr>
          <w:rFonts w:cs="Arial"/>
        </w:rPr>
        <w:t>ne</w:t>
      </w:r>
      <w:r w:rsidRPr="00080FAF">
        <w:rPr>
          <w:rFonts w:cs="Arial"/>
          <w:lang w:val="hr-HR"/>
        </w:rPr>
        <w:t xml:space="preserve"> </w:t>
      </w:r>
      <w:r w:rsidRPr="00B04E3E">
        <w:rPr>
          <w:rFonts w:cs="Arial"/>
        </w:rPr>
        <w:t>pla</w:t>
      </w:r>
      <w:r w:rsidRPr="00080FAF">
        <w:rPr>
          <w:rFonts w:cs="Arial"/>
          <w:lang w:val="hr-HR"/>
        </w:rPr>
        <w:t>ć</w:t>
      </w:r>
      <w:r w:rsidRPr="00B04E3E">
        <w:rPr>
          <w:rFonts w:cs="Arial"/>
        </w:rPr>
        <w:t>e</w:t>
      </w:r>
      <w:r w:rsidRPr="00080FAF">
        <w:rPr>
          <w:rFonts w:cs="Arial"/>
          <w:lang w:val="hr-HR"/>
        </w:rPr>
        <w:t xml:space="preserve"> </w:t>
      </w:r>
      <w:r w:rsidRPr="00B04E3E">
        <w:rPr>
          <w:rFonts w:cs="Arial"/>
        </w:rPr>
        <w:t>zaposlenika</w:t>
      </w:r>
      <w:r w:rsidRPr="00080FAF">
        <w:rPr>
          <w:rFonts w:cs="Arial"/>
          <w:lang w:val="hr-HR"/>
        </w:rPr>
        <w:t xml:space="preserve"> </w:t>
      </w:r>
      <w:r w:rsidRPr="00B04E3E">
        <w:rPr>
          <w:rFonts w:cs="Arial"/>
        </w:rPr>
        <w:t>Dru</w:t>
      </w:r>
      <w:r w:rsidRPr="00080FAF">
        <w:rPr>
          <w:rFonts w:cs="Arial"/>
          <w:lang w:val="hr-HR"/>
        </w:rPr>
        <w:t>š</w:t>
      </w:r>
      <w:r w:rsidRPr="00B04E3E">
        <w:rPr>
          <w:rFonts w:cs="Arial"/>
        </w:rPr>
        <w:t>tva</w:t>
      </w:r>
      <w:r w:rsidRPr="00080FAF">
        <w:rPr>
          <w:rFonts w:cs="Arial"/>
          <w:lang w:val="hr-HR"/>
        </w:rPr>
        <w:t xml:space="preserve"> </w:t>
      </w:r>
      <w:r w:rsidRPr="00B04E3E">
        <w:rPr>
          <w:rFonts w:cs="Arial"/>
        </w:rPr>
        <w:t>ispla</w:t>
      </w:r>
      <w:r w:rsidRPr="00080FAF">
        <w:rPr>
          <w:rFonts w:cs="Arial"/>
          <w:lang w:val="hr-HR"/>
        </w:rPr>
        <w:t>ć</w:t>
      </w:r>
      <w:r w:rsidRPr="00B04E3E">
        <w:rPr>
          <w:rFonts w:cs="Arial"/>
        </w:rPr>
        <w:t>ene</w:t>
      </w:r>
      <w:r w:rsidRPr="00080FAF">
        <w:rPr>
          <w:rFonts w:cs="Arial"/>
          <w:lang w:val="hr-HR"/>
        </w:rPr>
        <w:t xml:space="preserve"> </w:t>
      </w:r>
      <w:r w:rsidRPr="00B04E3E">
        <w:rPr>
          <w:rFonts w:cs="Arial"/>
        </w:rPr>
        <w:t>u</w:t>
      </w:r>
      <w:r w:rsidRPr="00080FAF">
        <w:rPr>
          <w:rFonts w:cs="Arial"/>
          <w:lang w:val="hr-HR"/>
        </w:rPr>
        <w:t xml:space="preserve"> </w:t>
      </w:r>
      <w:r w:rsidRPr="00B04E3E">
        <w:rPr>
          <w:rFonts w:cs="Arial"/>
        </w:rPr>
        <w:t>prethodnom</w:t>
      </w:r>
      <w:r w:rsidRPr="00080FAF">
        <w:rPr>
          <w:rFonts w:cs="Arial"/>
          <w:lang w:val="hr-HR"/>
        </w:rPr>
        <w:t xml:space="preserve"> </w:t>
      </w:r>
      <w:r w:rsidRPr="00B04E3E">
        <w:rPr>
          <w:rFonts w:cs="Arial"/>
        </w:rPr>
        <w:t>mjesecu</w:t>
      </w:r>
      <w:r w:rsidRPr="00080FAF">
        <w:rPr>
          <w:rFonts w:cs="Arial"/>
          <w:lang w:val="hr-HR"/>
        </w:rPr>
        <w:t xml:space="preserve">. </w:t>
      </w:r>
      <w:r w:rsidRPr="00B04E3E">
        <w:rPr>
          <w:rFonts w:cs="Arial"/>
        </w:rPr>
        <w:t>Naknada</w:t>
      </w:r>
      <w:r w:rsidRPr="00080FAF">
        <w:rPr>
          <w:rFonts w:cs="Arial"/>
          <w:lang w:val="hr-HR"/>
        </w:rPr>
        <w:t xml:space="preserve"> </w:t>
      </w:r>
      <w:r w:rsidRPr="00B04E3E">
        <w:rPr>
          <w:rFonts w:cs="Arial"/>
        </w:rPr>
        <w:t>zamjeniku</w:t>
      </w:r>
      <w:r w:rsidRPr="00080FAF">
        <w:rPr>
          <w:rFonts w:cs="Arial"/>
          <w:lang w:val="hr-HR"/>
        </w:rPr>
        <w:t xml:space="preserve"> </w:t>
      </w:r>
      <w:r w:rsidRPr="00B04E3E">
        <w:rPr>
          <w:rFonts w:cs="Arial"/>
        </w:rPr>
        <w:t>predsjednika</w:t>
      </w:r>
      <w:r w:rsidRPr="00080FAF">
        <w:rPr>
          <w:rFonts w:cs="Arial"/>
          <w:lang w:val="hr-HR"/>
        </w:rPr>
        <w:t xml:space="preserve"> </w:t>
      </w:r>
      <w:r w:rsidRPr="00B04E3E">
        <w:rPr>
          <w:rFonts w:cs="Arial"/>
        </w:rPr>
        <w:t>iznosi</w:t>
      </w:r>
      <w:r w:rsidRPr="00080FAF">
        <w:rPr>
          <w:rFonts w:cs="Arial"/>
          <w:lang w:val="hr-HR"/>
        </w:rPr>
        <w:t xml:space="preserve"> 1,25 </w:t>
      </w:r>
      <w:r w:rsidRPr="00B04E3E">
        <w:rPr>
          <w:rFonts w:cs="Arial"/>
        </w:rPr>
        <w:t>prosje</w:t>
      </w:r>
      <w:r w:rsidRPr="00080FAF">
        <w:rPr>
          <w:rFonts w:cs="Arial"/>
          <w:lang w:val="hr-HR"/>
        </w:rPr>
        <w:t>č</w:t>
      </w:r>
      <w:r w:rsidRPr="00B04E3E">
        <w:rPr>
          <w:rFonts w:cs="Arial"/>
        </w:rPr>
        <w:t>ne</w:t>
      </w:r>
      <w:r w:rsidRPr="00080FAF">
        <w:rPr>
          <w:rFonts w:cs="Arial"/>
          <w:lang w:val="hr-HR"/>
        </w:rPr>
        <w:t xml:space="preserve"> </w:t>
      </w:r>
      <w:r w:rsidRPr="00B04E3E">
        <w:rPr>
          <w:rFonts w:cs="Arial"/>
        </w:rPr>
        <w:t>pla</w:t>
      </w:r>
      <w:r w:rsidRPr="00080FAF">
        <w:rPr>
          <w:rFonts w:cs="Arial"/>
          <w:lang w:val="hr-HR"/>
        </w:rPr>
        <w:t>ć</w:t>
      </w:r>
      <w:r w:rsidRPr="00B04E3E">
        <w:rPr>
          <w:rFonts w:cs="Arial"/>
        </w:rPr>
        <w:t>e</w:t>
      </w:r>
      <w:r w:rsidRPr="00080FAF">
        <w:rPr>
          <w:rFonts w:cs="Arial"/>
          <w:lang w:val="hr-HR"/>
        </w:rPr>
        <w:t xml:space="preserve"> </w:t>
      </w:r>
      <w:r w:rsidRPr="00B04E3E">
        <w:rPr>
          <w:rFonts w:cs="Arial"/>
        </w:rPr>
        <w:t>zaposlenika</w:t>
      </w:r>
      <w:r w:rsidRPr="00080FAF">
        <w:rPr>
          <w:rFonts w:cs="Arial"/>
          <w:lang w:val="hr-HR"/>
        </w:rPr>
        <w:t xml:space="preserve"> </w:t>
      </w:r>
      <w:r w:rsidRPr="00B04E3E">
        <w:rPr>
          <w:rFonts w:cs="Arial"/>
        </w:rPr>
        <w:t>Dru</w:t>
      </w:r>
      <w:r w:rsidRPr="00080FAF">
        <w:rPr>
          <w:rFonts w:cs="Arial"/>
          <w:lang w:val="hr-HR"/>
        </w:rPr>
        <w:t>š</w:t>
      </w:r>
      <w:r w:rsidRPr="00B04E3E">
        <w:rPr>
          <w:rFonts w:cs="Arial"/>
        </w:rPr>
        <w:t>tva</w:t>
      </w:r>
      <w:r w:rsidRPr="00080FAF">
        <w:rPr>
          <w:rFonts w:cs="Arial"/>
          <w:lang w:val="hr-HR"/>
        </w:rPr>
        <w:t xml:space="preserve"> </w:t>
      </w:r>
      <w:r w:rsidRPr="00B04E3E">
        <w:rPr>
          <w:rFonts w:cs="Arial"/>
        </w:rPr>
        <w:t>ispla</w:t>
      </w:r>
      <w:r w:rsidRPr="00080FAF">
        <w:rPr>
          <w:rFonts w:cs="Arial"/>
          <w:lang w:val="hr-HR"/>
        </w:rPr>
        <w:t>ć</w:t>
      </w:r>
      <w:r w:rsidRPr="00B04E3E">
        <w:rPr>
          <w:rFonts w:cs="Arial"/>
        </w:rPr>
        <w:t>ene</w:t>
      </w:r>
      <w:r w:rsidRPr="00080FAF">
        <w:rPr>
          <w:rFonts w:cs="Arial"/>
          <w:lang w:val="hr-HR"/>
        </w:rPr>
        <w:t xml:space="preserve"> </w:t>
      </w:r>
      <w:r w:rsidRPr="00B04E3E">
        <w:rPr>
          <w:rFonts w:cs="Arial"/>
        </w:rPr>
        <w:t>u</w:t>
      </w:r>
      <w:r w:rsidRPr="00080FAF">
        <w:rPr>
          <w:rFonts w:cs="Arial"/>
          <w:lang w:val="hr-HR"/>
        </w:rPr>
        <w:t xml:space="preserve"> </w:t>
      </w:r>
      <w:r w:rsidRPr="00B04E3E">
        <w:rPr>
          <w:rFonts w:cs="Arial"/>
        </w:rPr>
        <w:t>prethodnom</w:t>
      </w:r>
      <w:r w:rsidRPr="00080FAF">
        <w:rPr>
          <w:rFonts w:cs="Arial"/>
          <w:lang w:val="hr-HR"/>
        </w:rPr>
        <w:t xml:space="preserve"> </w:t>
      </w:r>
      <w:r w:rsidRPr="00B04E3E">
        <w:rPr>
          <w:rFonts w:cs="Arial"/>
        </w:rPr>
        <w:t>mjesecu</w:t>
      </w:r>
      <w:r w:rsidRPr="00080FAF">
        <w:rPr>
          <w:rFonts w:cs="Arial"/>
          <w:lang w:val="hr-HR"/>
        </w:rPr>
        <w:t xml:space="preserve"> </w:t>
      </w:r>
      <w:r w:rsidRPr="00B04E3E">
        <w:rPr>
          <w:rFonts w:cs="Arial"/>
        </w:rPr>
        <w:t>dok</w:t>
      </w:r>
      <w:r w:rsidRPr="00080FAF">
        <w:rPr>
          <w:rFonts w:cs="Arial"/>
          <w:lang w:val="hr-HR"/>
        </w:rPr>
        <w:t xml:space="preserve"> </w:t>
      </w:r>
      <w:r w:rsidRPr="00B04E3E">
        <w:rPr>
          <w:rFonts w:cs="Arial"/>
        </w:rPr>
        <w:t>ostali</w:t>
      </w:r>
      <w:r w:rsidRPr="00080FAF">
        <w:rPr>
          <w:rFonts w:cs="Arial"/>
          <w:lang w:val="hr-HR"/>
        </w:rPr>
        <w:t xml:space="preserve"> č</w:t>
      </w:r>
      <w:r w:rsidRPr="00B04E3E">
        <w:rPr>
          <w:rFonts w:cs="Arial"/>
        </w:rPr>
        <w:t>lanovi</w:t>
      </w:r>
      <w:r w:rsidRPr="00080FAF">
        <w:rPr>
          <w:rFonts w:cs="Arial"/>
          <w:lang w:val="hr-HR"/>
        </w:rPr>
        <w:t xml:space="preserve"> </w:t>
      </w:r>
      <w:r w:rsidRPr="00B04E3E">
        <w:rPr>
          <w:rFonts w:cs="Arial"/>
        </w:rPr>
        <w:t>Nadzornog</w:t>
      </w:r>
      <w:r w:rsidRPr="00080FAF">
        <w:rPr>
          <w:rFonts w:cs="Arial"/>
          <w:lang w:val="hr-HR"/>
        </w:rPr>
        <w:t xml:space="preserve"> </w:t>
      </w:r>
      <w:r w:rsidRPr="00B04E3E">
        <w:rPr>
          <w:rFonts w:cs="Arial"/>
        </w:rPr>
        <w:t>odbora</w:t>
      </w:r>
      <w:r w:rsidRPr="00080FAF">
        <w:rPr>
          <w:rFonts w:cs="Arial"/>
          <w:lang w:val="hr-HR"/>
        </w:rPr>
        <w:t xml:space="preserve"> </w:t>
      </w:r>
      <w:r w:rsidRPr="00B04E3E">
        <w:rPr>
          <w:rFonts w:cs="Arial"/>
        </w:rPr>
        <w:t>dobivaju</w:t>
      </w:r>
      <w:r w:rsidRPr="00080FAF">
        <w:rPr>
          <w:rFonts w:cs="Arial"/>
          <w:lang w:val="hr-HR"/>
        </w:rPr>
        <w:t xml:space="preserve"> </w:t>
      </w:r>
      <w:r w:rsidRPr="00B04E3E">
        <w:rPr>
          <w:rFonts w:cs="Arial"/>
        </w:rPr>
        <w:t>naknadu</w:t>
      </w:r>
      <w:r w:rsidRPr="00080FAF">
        <w:rPr>
          <w:rFonts w:cs="Arial"/>
          <w:lang w:val="hr-HR"/>
        </w:rPr>
        <w:t xml:space="preserve"> </w:t>
      </w:r>
      <w:r w:rsidRPr="00B04E3E">
        <w:rPr>
          <w:rFonts w:cs="Arial"/>
        </w:rPr>
        <w:t>u</w:t>
      </w:r>
      <w:r w:rsidRPr="00080FAF">
        <w:rPr>
          <w:rFonts w:cs="Arial"/>
          <w:lang w:val="hr-HR"/>
        </w:rPr>
        <w:t xml:space="preserve"> </w:t>
      </w:r>
      <w:r w:rsidRPr="00B04E3E">
        <w:rPr>
          <w:rFonts w:cs="Arial"/>
        </w:rPr>
        <w:t>iznosu</w:t>
      </w:r>
      <w:r w:rsidRPr="00080FAF">
        <w:rPr>
          <w:rFonts w:cs="Arial"/>
          <w:lang w:val="hr-HR"/>
        </w:rPr>
        <w:t xml:space="preserve"> </w:t>
      </w:r>
      <w:r w:rsidRPr="00B04E3E">
        <w:rPr>
          <w:rFonts w:cs="Arial"/>
        </w:rPr>
        <w:t>od</w:t>
      </w:r>
      <w:r w:rsidRPr="00080FAF">
        <w:rPr>
          <w:rFonts w:cs="Arial"/>
          <w:lang w:val="hr-HR"/>
        </w:rPr>
        <w:t xml:space="preserve"> </w:t>
      </w:r>
      <w:r w:rsidRPr="00B04E3E">
        <w:rPr>
          <w:rFonts w:cs="Arial"/>
        </w:rPr>
        <w:t>jedne</w:t>
      </w:r>
      <w:r w:rsidRPr="00080FAF">
        <w:rPr>
          <w:rFonts w:cs="Arial"/>
          <w:lang w:val="hr-HR"/>
        </w:rPr>
        <w:t xml:space="preserve"> </w:t>
      </w:r>
      <w:r w:rsidRPr="00B04E3E">
        <w:rPr>
          <w:rFonts w:cs="Arial"/>
        </w:rPr>
        <w:t>prosje</w:t>
      </w:r>
      <w:r w:rsidRPr="00080FAF">
        <w:rPr>
          <w:rFonts w:cs="Arial"/>
          <w:lang w:val="hr-HR"/>
        </w:rPr>
        <w:t>č</w:t>
      </w:r>
      <w:r w:rsidRPr="00B04E3E">
        <w:rPr>
          <w:rFonts w:cs="Arial"/>
        </w:rPr>
        <w:t>ne</w:t>
      </w:r>
      <w:r w:rsidRPr="00080FAF">
        <w:rPr>
          <w:rFonts w:cs="Arial"/>
          <w:lang w:val="hr-HR"/>
        </w:rPr>
        <w:t xml:space="preserve"> </w:t>
      </w:r>
      <w:r w:rsidRPr="00B04E3E">
        <w:rPr>
          <w:rFonts w:cs="Arial"/>
        </w:rPr>
        <w:t>pla</w:t>
      </w:r>
      <w:r w:rsidRPr="00080FAF">
        <w:rPr>
          <w:rFonts w:cs="Arial"/>
          <w:lang w:val="hr-HR"/>
        </w:rPr>
        <w:t>ć</w:t>
      </w:r>
      <w:r w:rsidRPr="00B04E3E">
        <w:rPr>
          <w:rFonts w:cs="Arial"/>
        </w:rPr>
        <w:t>e</w:t>
      </w:r>
      <w:r w:rsidRPr="00080FAF">
        <w:rPr>
          <w:rFonts w:cs="Arial"/>
          <w:lang w:val="hr-HR"/>
        </w:rPr>
        <w:t xml:space="preserve"> </w:t>
      </w:r>
      <w:r w:rsidRPr="00B04E3E">
        <w:rPr>
          <w:rFonts w:cs="Arial"/>
        </w:rPr>
        <w:t>zaposlenika</w:t>
      </w:r>
      <w:r w:rsidRPr="00080FAF">
        <w:rPr>
          <w:rFonts w:cs="Arial"/>
          <w:lang w:val="hr-HR"/>
        </w:rPr>
        <w:t xml:space="preserve"> </w:t>
      </w:r>
      <w:r w:rsidRPr="00B04E3E">
        <w:rPr>
          <w:rFonts w:cs="Arial"/>
        </w:rPr>
        <w:t>Dru</w:t>
      </w:r>
      <w:r w:rsidRPr="00080FAF">
        <w:rPr>
          <w:rFonts w:cs="Arial"/>
          <w:lang w:val="hr-HR"/>
        </w:rPr>
        <w:t>š</w:t>
      </w:r>
      <w:r w:rsidRPr="00B04E3E">
        <w:rPr>
          <w:rFonts w:cs="Arial"/>
        </w:rPr>
        <w:t>tva</w:t>
      </w:r>
      <w:r w:rsidRPr="00080FAF">
        <w:rPr>
          <w:rFonts w:cs="Arial"/>
          <w:lang w:val="hr-HR"/>
        </w:rPr>
        <w:t xml:space="preserve"> </w:t>
      </w:r>
      <w:r w:rsidRPr="00B04E3E">
        <w:rPr>
          <w:rFonts w:cs="Arial"/>
        </w:rPr>
        <w:t>ispla</w:t>
      </w:r>
      <w:r w:rsidRPr="00080FAF">
        <w:rPr>
          <w:rFonts w:cs="Arial"/>
          <w:lang w:val="hr-HR"/>
        </w:rPr>
        <w:t>ć</w:t>
      </w:r>
      <w:r w:rsidRPr="00B04E3E">
        <w:rPr>
          <w:rFonts w:cs="Arial"/>
        </w:rPr>
        <w:t>ene</w:t>
      </w:r>
      <w:r w:rsidRPr="00080FAF">
        <w:rPr>
          <w:rFonts w:cs="Arial"/>
          <w:lang w:val="hr-HR"/>
        </w:rPr>
        <w:t xml:space="preserve"> </w:t>
      </w:r>
      <w:r w:rsidRPr="00B04E3E">
        <w:rPr>
          <w:rFonts w:cs="Arial"/>
        </w:rPr>
        <w:t>u</w:t>
      </w:r>
      <w:r w:rsidRPr="00080FAF">
        <w:rPr>
          <w:rFonts w:cs="Arial"/>
          <w:lang w:val="hr-HR"/>
        </w:rPr>
        <w:t xml:space="preserve"> </w:t>
      </w:r>
      <w:r w:rsidRPr="00B04E3E">
        <w:rPr>
          <w:rFonts w:cs="Arial"/>
        </w:rPr>
        <w:t>prethodnom</w:t>
      </w:r>
      <w:r w:rsidRPr="00080FAF">
        <w:rPr>
          <w:rFonts w:cs="Arial"/>
          <w:lang w:val="hr-HR"/>
        </w:rPr>
        <w:t xml:space="preserve"> </w:t>
      </w:r>
      <w:r w:rsidRPr="00B04E3E">
        <w:rPr>
          <w:rFonts w:cs="Arial"/>
        </w:rPr>
        <w:t>mjesecu</w:t>
      </w:r>
      <w:r w:rsidRPr="00080FAF">
        <w:rPr>
          <w:rFonts w:cs="Arial"/>
          <w:lang w:val="hr-HR"/>
        </w:rPr>
        <w:t xml:space="preserve">. </w:t>
      </w:r>
      <w:r w:rsidRPr="00B04E3E">
        <w:rPr>
          <w:rFonts w:cs="Arial"/>
        </w:rPr>
        <w:t>Naknada</w:t>
      </w:r>
      <w:r w:rsidRPr="00080FAF">
        <w:rPr>
          <w:rFonts w:cs="Arial"/>
          <w:lang w:val="hr-HR"/>
        </w:rPr>
        <w:t xml:space="preserve"> č</w:t>
      </w:r>
      <w:r w:rsidRPr="00B04E3E">
        <w:rPr>
          <w:rFonts w:cs="Arial"/>
        </w:rPr>
        <w:t>lanu</w:t>
      </w:r>
      <w:r w:rsidRPr="00080FAF">
        <w:rPr>
          <w:rFonts w:cs="Arial"/>
          <w:lang w:val="hr-HR"/>
        </w:rPr>
        <w:t xml:space="preserve"> </w:t>
      </w:r>
      <w:r w:rsidRPr="00B04E3E">
        <w:rPr>
          <w:rFonts w:cs="Arial"/>
        </w:rPr>
        <w:t>Nadzornog</w:t>
      </w:r>
      <w:r w:rsidRPr="00080FAF">
        <w:rPr>
          <w:rFonts w:cs="Arial"/>
          <w:lang w:val="hr-HR"/>
        </w:rPr>
        <w:t xml:space="preserve"> </w:t>
      </w:r>
      <w:r w:rsidRPr="00B04E3E">
        <w:rPr>
          <w:rFonts w:cs="Arial"/>
        </w:rPr>
        <w:t>odbora</w:t>
      </w:r>
      <w:r w:rsidRPr="00080FAF">
        <w:rPr>
          <w:rFonts w:cs="Arial"/>
          <w:lang w:val="hr-HR"/>
        </w:rPr>
        <w:t xml:space="preserve"> </w:t>
      </w:r>
      <w:r w:rsidRPr="00B04E3E">
        <w:rPr>
          <w:rFonts w:cs="Arial"/>
        </w:rPr>
        <w:t>koji</w:t>
      </w:r>
      <w:r w:rsidRPr="00080FAF">
        <w:rPr>
          <w:rFonts w:cs="Arial"/>
          <w:lang w:val="hr-HR"/>
        </w:rPr>
        <w:t xml:space="preserve"> </w:t>
      </w:r>
      <w:r w:rsidRPr="00B04E3E">
        <w:rPr>
          <w:rFonts w:cs="Arial"/>
        </w:rPr>
        <w:t>je</w:t>
      </w:r>
      <w:r w:rsidRPr="00080FAF">
        <w:rPr>
          <w:rFonts w:cs="Arial"/>
          <w:lang w:val="hr-HR"/>
        </w:rPr>
        <w:t xml:space="preserve"> </w:t>
      </w:r>
      <w:r w:rsidRPr="00B04E3E">
        <w:rPr>
          <w:rFonts w:cs="Arial"/>
        </w:rPr>
        <w:t>ujedno</w:t>
      </w:r>
      <w:r w:rsidRPr="00080FAF">
        <w:rPr>
          <w:rFonts w:cs="Arial"/>
          <w:lang w:val="hr-HR"/>
        </w:rPr>
        <w:t xml:space="preserve"> </w:t>
      </w:r>
      <w:r w:rsidRPr="00B04E3E">
        <w:rPr>
          <w:rFonts w:cs="Arial"/>
        </w:rPr>
        <w:t>i</w:t>
      </w:r>
      <w:r w:rsidRPr="00080FAF">
        <w:rPr>
          <w:rFonts w:cs="Arial"/>
          <w:lang w:val="hr-HR"/>
        </w:rPr>
        <w:t xml:space="preserve"> </w:t>
      </w:r>
      <w:r w:rsidRPr="00B04E3E">
        <w:rPr>
          <w:rFonts w:cs="Arial"/>
        </w:rPr>
        <w:t>predsjednik</w:t>
      </w:r>
      <w:r w:rsidRPr="00080FAF">
        <w:rPr>
          <w:rFonts w:cs="Arial"/>
          <w:lang w:val="hr-HR"/>
        </w:rPr>
        <w:t xml:space="preserve"> </w:t>
      </w:r>
      <w:r w:rsidRPr="00B04E3E">
        <w:rPr>
          <w:rFonts w:cs="Arial"/>
        </w:rPr>
        <w:t>Odbora</w:t>
      </w:r>
      <w:r w:rsidRPr="00080FAF">
        <w:rPr>
          <w:rFonts w:cs="Arial"/>
          <w:lang w:val="hr-HR"/>
        </w:rPr>
        <w:t xml:space="preserve"> </w:t>
      </w:r>
      <w:r w:rsidRPr="00B04E3E">
        <w:rPr>
          <w:rFonts w:cs="Arial"/>
        </w:rPr>
        <w:t>za</w:t>
      </w:r>
      <w:r w:rsidRPr="00080FAF">
        <w:rPr>
          <w:rFonts w:cs="Arial"/>
          <w:lang w:val="hr-HR"/>
        </w:rPr>
        <w:t xml:space="preserve"> </w:t>
      </w:r>
      <w:r w:rsidRPr="00B04E3E">
        <w:rPr>
          <w:rFonts w:cs="Arial"/>
        </w:rPr>
        <w:t>revi</w:t>
      </w:r>
      <w:r>
        <w:rPr>
          <w:rFonts w:cs="Arial"/>
        </w:rPr>
        <w:t>ziju</w:t>
      </w:r>
      <w:r w:rsidRPr="00080FAF">
        <w:rPr>
          <w:rFonts w:cs="Arial"/>
          <w:lang w:val="hr-HR"/>
        </w:rPr>
        <w:t xml:space="preserve"> </w:t>
      </w:r>
      <w:r>
        <w:rPr>
          <w:rFonts w:cs="Arial"/>
        </w:rPr>
        <w:t>Nadzornog</w:t>
      </w:r>
      <w:r w:rsidRPr="00080FAF">
        <w:rPr>
          <w:rFonts w:cs="Arial"/>
          <w:lang w:val="hr-HR"/>
        </w:rPr>
        <w:t xml:space="preserve"> </w:t>
      </w:r>
      <w:r>
        <w:rPr>
          <w:rFonts w:cs="Arial"/>
        </w:rPr>
        <w:t>odbora</w:t>
      </w:r>
      <w:r w:rsidRPr="00080FAF">
        <w:rPr>
          <w:rFonts w:cs="Arial"/>
          <w:lang w:val="hr-HR"/>
        </w:rPr>
        <w:t xml:space="preserve"> </w:t>
      </w:r>
      <w:r>
        <w:rPr>
          <w:rFonts w:cs="Arial"/>
        </w:rPr>
        <w:t>iznosi</w:t>
      </w:r>
      <w:r w:rsidRPr="00080FAF">
        <w:rPr>
          <w:rFonts w:cs="Arial"/>
          <w:lang w:val="hr-HR"/>
        </w:rPr>
        <w:t xml:space="preserve"> 1,5 </w:t>
      </w:r>
      <w:r w:rsidRPr="00B04E3E">
        <w:rPr>
          <w:rFonts w:cs="Arial"/>
        </w:rPr>
        <w:t>prosje</w:t>
      </w:r>
      <w:r w:rsidRPr="00080FAF">
        <w:rPr>
          <w:rFonts w:cs="Arial"/>
          <w:lang w:val="hr-HR"/>
        </w:rPr>
        <w:t>č</w:t>
      </w:r>
      <w:r w:rsidRPr="00B04E3E">
        <w:rPr>
          <w:rFonts w:cs="Arial"/>
        </w:rPr>
        <w:t>ne</w:t>
      </w:r>
      <w:r w:rsidRPr="00080FAF">
        <w:rPr>
          <w:rFonts w:cs="Arial"/>
          <w:lang w:val="hr-HR"/>
        </w:rPr>
        <w:t xml:space="preserve"> </w:t>
      </w:r>
      <w:r w:rsidRPr="00B04E3E">
        <w:rPr>
          <w:rFonts w:cs="Arial"/>
        </w:rPr>
        <w:t>pla</w:t>
      </w:r>
      <w:r w:rsidRPr="00080FAF">
        <w:rPr>
          <w:rFonts w:cs="Arial"/>
          <w:lang w:val="hr-HR"/>
        </w:rPr>
        <w:t>ć</w:t>
      </w:r>
      <w:r w:rsidRPr="00B04E3E">
        <w:rPr>
          <w:rFonts w:cs="Arial"/>
        </w:rPr>
        <w:t>e</w:t>
      </w:r>
      <w:r w:rsidRPr="00080FAF">
        <w:rPr>
          <w:rFonts w:cs="Arial"/>
          <w:lang w:val="hr-HR"/>
        </w:rPr>
        <w:t xml:space="preserve"> </w:t>
      </w:r>
      <w:r w:rsidRPr="00B04E3E">
        <w:rPr>
          <w:rFonts w:cs="Arial"/>
        </w:rPr>
        <w:t>zaposlenika</w:t>
      </w:r>
      <w:r w:rsidRPr="00080FAF">
        <w:rPr>
          <w:rFonts w:cs="Arial"/>
          <w:lang w:val="hr-HR"/>
        </w:rPr>
        <w:t xml:space="preserve"> </w:t>
      </w:r>
      <w:r w:rsidRPr="00B04E3E">
        <w:rPr>
          <w:rFonts w:cs="Arial"/>
        </w:rPr>
        <w:t>Dru</w:t>
      </w:r>
      <w:r w:rsidRPr="00080FAF">
        <w:rPr>
          <w:rFonts w:cs="Arial"/>
          <w:lang w:val="hr-HR"/>
        </w:rPr>
        <w:t>š</w:t>
      </w:r>
      <w:r w:rsidRPr="00B04E3E">
        <w:rPr>
          <w:rFonts w:cs="Arial"/>
        </w:rPr>
        <w:t>tva</w:t>
      </w:r>
      <w:r w:rsidRPr="00080FAF">
        <w:rPr>
          <w:rFonts w:cs="Arial"/>
          <w:lang w:val="hr-HR"/>
        </w:rPr>
        <w:t xml:space="preserve"> </w:t>
      </w:r>
      <w:r w:rsidRPr="00B04E3E">
        <w:rPr>
          <w:rFonts w:cs="Arial"/>
        </w:rPr>
        <w:t>ispla</w:t>
      </w:r>
      <w:r w:rsidRPr="00080FAF">
        <w:rPr>
          <w:rFonts w:cs="Arial"/>
          <w:lang w:val="hr-HR"/>
        </w:rPr>
        <w:t>ć</w:t>
      </w:r>
      <w:r w:rsidRPr="00B04E3E">
        <w:rPr>
          <w:rFonts w:cs="Arial"/>
        </w:rPr>
        <w:t>ene</w:t>
      </w:r>
      <w:r w:rsidRPr="00080FAF">
        <w:rPr>
          <w:rFonts w:cs="Arial"/>
          <w:lang w:val="hr-HR"/>
        </w:rPr>
        <w:t xml:space="preserve"> </w:t>
      </w:r>
      <w:r w:rsidRPr="00B04E3E">
        <w:rPr>
          <w:rFonts w:cs="Arial"/>
        </w:rPr>
        <w:t>u</w:t>
      </w:r>
      <w:r w:rsidRPr="00080FAF">
        <w:rPr>
          <w:rFonts w:cs="Arial"/>
          <w:lang w:val="hr-HR"/>
        </w:rPr>
        <w:t xml:space="preserve"> </w:t>
      </w:r>
      <w:r w:rsidRPr="00B04E3E">
        <w:rPr>
          <w:rFonts w:cs="Arial"/>
        </w:rPr>
        <w:t>prethodnom</w:t>
      </w:r>
      <w:r w:rsidRPr="00080FAF">
        <w:rPr>
          <w:rFonts w:cs="Arial"/>
          <w:lang w:val="hr-HR"/>
        </w:rPr>
        <w:t xml:space="preserve"> </w:t>
      </w:r>
      <w:r w:rsidRPr="00B04E3E">
        <w:rPr>
          <w:rFonts w:cs="Arial"/>
        </w:rPr>
        <w:t>mjesecu</w:t>
      </w:r>
      <w:r w:rsidRPr="00080FAF">
        <w:rPr>
          <w:rFonts w:cs="Arial"/>
          <w:lang w:val="hr-HR"/>
        </w:rPr>
        <w:t xml:space="preserve">. </w:t>
      </w:r>
      <w:r w:rsidRPr="00C62C6A">
        <w:rPr>
          <w:rFonts w:cs="Arial"/>
        </w:rPr>
        <w:t>Naknada</w:t>
      </w:r>
      <w:r w:rsidRPr="00080FAF">
        <w:rPr>
          <w:rFonts w:cs="Arial"/>
          <w:lang w:val="hr-HR"/>
        </w:rPr>
        <w:t xml:space="preserve"> č</w:t>
      </w:r>
      <w:r w:rsidRPr="00C62C6A">
        <w:rPr>
          <w:rFonts w:cs="Arial"/>
        </w:rPr>
        <w:t>lanu</w:t>
      </w:r>
      <w:r w:rsidRPr="00080FAF">
        <w:rPr>
          <w:rFonts w:cs="Arial"/>
          <w:lang w:val="hr-HR"/>
        </w:rPr>
        <w:t xml:space="preserve"> </w:t>
      </w:r>
      <w:r w:rsidRPr="00C62C6A">
        <w:rPr>
          <w:rFonts w:cs="Arial"/>
        </w:rPr>
        <w:t>Nadzornog</w:t>
      </w:r>
      <w:r w:rsidRPr="00080FAF">
        <w:rPr>
          <w:rFonts w:cs="Arial"/>
          <w:lang w:val="hr-HR"/>
        </w:rPr>
        <w:t xml:space="preserve"> </w:t>
      </w:r>
      <w:r w:rsidRPr="00C62C6A">
        <w:rPr>
          <w:rFonts w:cs="Arial"/>
        </w:rPr>
        <w:t>odbora</w:t>
      </w:r>
      <w:r w:rsidRPr="00080FAF">
        <w:rPr>
          <w:rFonts w:cs="Arial"/>
          <w:lang w:val="hr-HR"/>
        </w:rPr>
        <w:t xml:space="preserve"> </w:t>
      </w:r>
      <w:r w:rsidRPr="00C62C6A">
        <w:rPr>
          <w:rFonts w:cs="Arial"/>
        </w:rPr>
        <w:t>koji</w:t>
      </w:r>
      <w:r w:rsidRPr="00080FAF">
        <w:rPr>
          <w:rFonts w:cs="Arial"/>
          <w:lang w:val="hr-HR"/>
        </w:rPr>
        <w:t xml:space="preserve"> </w:t>
      </w:r>
      <w:r w:rsidRPr="00C62C6A">
        <w:rPr>
          <w:rFonts w:cs="Arial"/>
        </w:rPr>
        <w:t>je</w:t>
      </w:r>
      <w:r w:rsidRPr="00080FAF">
        <w:rPr>
          <w:rFonts w:cs="Arial"/>
          <w:lang w:val="hr-HR"/>
        </w:rPr>
        <w:t xml:space="preserve"> </w:t>
      </w:r>
      <w:r w:rsidRPr="00C62C6A">
        <w:rPr>
          <w:rFonts w:cs="Arial"/>
        </w:rPr>
        <w:t>ujedno</w:t>
      </w:r>
      <w:r w:rsidRPr="00080FAF">
        <w:rPr>
          <w:rFonts w:cs="Arial"/>
          <w:lang w:val="hr-HR"/>
        </w:rPr>
        <w:t xml:space="preserve"> </w:t>
      </w:r>
      <w:r w:rsidRPr="00C62C6A">
        <w:rPr>
          <w:rFonts w:cs="Arial"/>
        </w:rPr>
        <w:t>i</w:t>
      </w:r>
      <w:r w:rsidRPr="00080FAF">
        <w:rPr>
          <w:rFonts w:cs="Arial"/>
          <w:lang w:val="hr-HR"/>
        </w:rPr>
        <w:t xml:space="preserve"> č</w:t>
      </w:r>
      <w:r w:rsidRPr="00C62C6A">
        <w:rPr>
          <w:rFonts w:cs="Arial"/>
        </w:rPr>
        <w:t>lan</w:t>
      </w:r>
      <w:r w:rsidRPr="00080FAF">
        <w:rPr>
          <w:rFonts w:cs="Arial"/>
          <w:lang w:val="hr-HR"/>
        </w:rPr>
        <w:t xml:space="preserve"> </w:t>
      </w:r>
      <w:r w:rsidRPr="00C62C6A">
        <w:rPr>
          <w:rFonts w:cs="Arial"/>
        </w:rPr>
        <w:t>Odbora</w:t>
      </w:r>
      <w:r w:rsidRPr="00080FAF">
        <w:rPr>
          <w:rFonts w:cs="Arial"/>
          <w:lang w:val="hr-HR"/>
        </w:rPr>
        <w:t xml:space="preserve"> </w:t>
      </w:r>
      <w:r w:rsidRPr="00C62C6A">
        <w:rPr>
          <w:rFonts w:cs="Arial"/>
        </w:rPr>
        <w:t>za</w:t>
      </w:r>
      <w:r w:rsidRPr="00080FAF">
        <w:rPr>
          <w:rFonts w:cs="Arial"/>
          <w:lang w:val="hr-HR"/>
        </w:rPr>
        <w:t xml:space="preserve"> </w:t>
      </w:r>
      <w:r w:rsidRPr="00C62C6A">
        <w:rPr>
          <w:rFonts w:cs="Arial"/>
        </w:rPr>
        <w:t>reviziju</w:t>
      </w:r>
      <w:r w:rsidRPr="00080FAF">
        <w:rPr>
          <w:rFonts w:cs="Arial"/>
          <w:lang w:val="hr-HR"/>
        </w:rPr>
        <w:t xml:space="preserve"> </w:t>
      </w:r>
      <w:r w:rsidRPr="00C62C6A">
        <w:rPr>
          <w:rFonts w:cs="Arial"/>
        </w:rPr>
        <w:t>Nadzornog</w:t>
      </w:r>
      <w:r w:rsidRPr="00080FAF">
        <w:rPr>
          <w:rFonts w:cs="Arial"/>
          <w:lang w:val="hr-HR"/>
        </w:rPr>
        <w:t xml:space="preserve"> </w:t>
      </w:r>
      <w:r w:rsidRPr="00C62C6A">
        <w:rPr>
          <w:rFonts w:cs="Arial"/>
        </w:rPr>
        <w:t>odbora</w:t>
      </w:r>
      <w:r w:rsidRPr="00080FAF">
        <w:rPr>
          <w:rFonts w:cs="Arial"/>
          <w:lang w:val="hr-HR"/>
        </w:rPr>
        <w:t xml:space="preserve"> </w:t>
      </w:r>
      <w:r w:rsidRPr="00C62C6A">
        <w:rPr>
          <w:rFonts w:cs="Arial"/>
        </w:rPr>
        <w:t>iznosi</w:t>
      </w:r>
      <w:r w:rsidRPr="00080FAF">
        <w:rPr>
          <w:rFonts w:cs="Arial"/>
          <w:lang w:val="hr-HR"/>
        </w:rPr>
        <w:t xml:space="preserve"> 1,25 </w:t>
      </w:r>
      <w:r w:rsidRPr="00C62C6A">
        <w:rPr>
          <w:rFonts w:cs="Arial"/>
        </w:rPr>
        <w:t>prosje</w:t>
      </w:r>
      <w:r w:rsidRPr="00080FAF">
        <w:rPr>
          <w:rFonts w:cs="Arial"/>
          <w:lang w:val="hr-HR"/>
        </w:rPr>
        <w:t>č</w:t>
      </w:r>
      <w:r w:rsidRPr="00C62C6A">
        <w:rPr>
          <w:rFonts w:cs="Arial"/>
        </w:rPr>
        <w:t>ne</w:t>
      </w:r>
      <w:r w:rsidRPr="00080FAF">
        <w:rPr>
          <w:rFonts w:cs="Arial"/>
          <w:lang w:val="hr-HR"/>
        </w:rPr>
        <w:t xml:space="preserve"> </w:t>
      </w:r>
      <w:r w:rsidRPr="00C62C6A">
        <w:rPr>
          <w:rFonts w:cs="Arial"/>
        </w:rPr>
        <w:t>pla</w:t>
      </w:r>
      <w:r w:rsidRPr="00080FAF">
        <w:rPr>
          <w:rFonts w:cs="Arial"/>
          <w:lang w:val="hr-HR"/>
        </w:rPr>
        <w:t>ć</w:t>
      </w:r>
      <w:r w:rsidRPr="00C62C6A">
        <w:rPr>
          <w:rFonts w:cs="Arial"/>
        </w:rPr>
        <w:t>e</w:t>
      </w:r>
      <w:r w:rsidRPr="00080FAF">
        <w:rPr>
          <w:rFonts w:cs="Arial"/>
          <w:lang w:val="hr-HR"/>
        </w:rPr>
        <w:t xml:space="preserve"> </w:t>
      </w:r>
      <w:r w:rsidRPr="00C62C6A">
        <w:rPr>
          <w:rFonts w:cs="Arial"/>
        </w:rPr>
        <w:t>zaposlenika</w:t>
      </w:r>
      <w:r w:rsidRPr="00080FAF">
        <w:rPr>
          <w:rFonts w:cs="Arial"/>
          <w:lang w:val="hr-HR"/>
        </w:rPr>
        <w:t xml:space="preserve"> </w:t>
      </w:r>
      <w:r w:rsidRPr="00C62C6A">
        <w:rPr>
          <w:rFonts w:cs="Arial"/>
        </w:rPr>
        <w:t>Dru</w:t>
      </w:r>
      <w:r w:rsidRPr="00080FAF">
        <w:rPr>
          <w:rFonts w:cs="Arial"/>
          <w:lang w:val="hr-HR"/>
        </w:rPr>
        <w:t>š</w:t>
      </w:r>
      <w:r w:rsidRPr="00C62C6A">
        <w:rPr>
          <w:rFonts w:cs="Arial"/>
        </w:rPr>
        <w:t>tva</w:t>
      </w:r>
      <w:r w:rsidRPr="00080FAF">
        <w:rPr>
          <w:rFonts w:cs="Arial"/>
          <w:lang w:val="hr-HR"/>
        </w:rPr>
        <w:t xml:space="preserve"> </w:t>
      </w:r>
      <w:r w:rsidRPr="00C62C6A">
        <w:rPr>
          <w:rFonts w:cs="Arial"/>
        </w:rPr>
        <w:t>ispla</w:t>
      </w:r>
      <w:r w:rsidRPr="00080FAF">
        <w:rPr>
          <w:rFonts w:cs="Arial"/>
          <w:lang w:val="hr-HR"/>
        </w:rPr>
        <w:t>ć</w:t>
      </w:r>
      <w:r w:rsidRPr="00C62C6A">
        <w:rPr>
          <w:rFonts w:cs="Arial"/>
        </w:rPr>
        <w:t>ene</w:t>
      </w:r>
      <w:r w:rsidRPr="00080FAF">
        <w:rPr>
          <w:rFonts w:cs="Arial"/>
          <w:lang w:val="hr-HR"/>
        </w:rPr>
        <w:t xml:space="preserve"> </w:t>
      </w:r>
      <w:r w:rsidRPr="00C62C6A">
        <w:rPr>
          <w:rFonts w:cs="Arial"/>
        </w:rPr>
        <w:t>u</w:t>
      </w:r>
      <w:r w:rsidRPr="00080FAF">
        <w:rPr>
          <w:rFonts w:cs="Arial"/>
          <w:lang w:val="hr-HR"/>
        </w:rPr>
        <w:t xml:space="preserve"> </w:t>
      </w:r>
      <w:r w:rsidRPr="00C62C6A">
        <w:rPr>
          <w:rFonts w:cs="Arial"/>
        </w:rPr>
        <w:t>prethodnom</w:t>
      </w:r>
      <w:r w:rsidRPr="00080FAF">
        <w:rPr>
          <w:rFonts w:cs="Arial"/>
          <w:lang w:val="hr-HR"/>
        </w:rPr>
        <w:t xml:space="preserve"> </w:t>
      </w:r>
      <w:r w:rsidRPr="00C62C6A">
        <w:rPr>
          <w:rFonts w:cs="Arial"/>
        </w:rPr>
        <w:t>mjesecu</w:t>
      </w:r>
      <w:r w:rsidRPr="00080FAF">
        <w:rPr>
          <w:rFonts w:cs="Arial"/>
          <w:lang w:val="hr-HR"/>
        </w:rPr>
        <w:t xml:space="preserve">. </w:t>
      </w:r>
      <w:r w:rsidRPr="00C62C6A">
        <w:rPr>
          <w:rFonts w:cs="Arial"/>
        </w:rPr>
        <w:t>Naknada</w:t>
      </w:r>
      <w:r w:rsidRPr="00080FAF">
        <w:rPr>
          <w:rFonts w:cs="Arial"/>
          <w:lang w:val="hr-HR"/>
        </w:rPr>
        <w:t xml:space="preserve"> č</w:t>
      </w:r>
      <w:r w:rsidRPr="00C62C6A">
        <w:rPr>
          <w:rFonts w:cs="Arial"/>
        </w:rPr>
        <w:t>lanu</w:t>
      </w:r>
      <w:r w:rsidRPr="00080FAF">
        <w:rPr>
          <w:rFonts w:cs="Arial"/>
          <w:lang w:val="hr-HR"/>
        </w:rPr>
        <w:t xml:space="preserve"> </w:t>
      </w:r>
      <w:r w:rsidRPr="00C62C6A">
        <w:rPr>
          <w:rFonts w:cs="Arial"/>
        </w:rPr>
        <w:t>Nadzornog</w:t>
      </w:r>
      <w:r w:rsidRPr="00080FAF">
        <w:rPr>
          <w:rFonts w:cs="Arial"/>
          <w:lang w:val="hr-HR"/>
        </w:rPr>
        <w:t xml:space="preserve"> </w:t>
      </w:r>
      <w:r w:rsidRPr="00C62C6A">
        <w:rPr>
          <w:rFonts w:cs="Arial"/>
        </w:rPr>
        <w:t>odbora</w:t>
      </w:r>
      <w:r w:rsidRPr="00080FAF">
        <w:rPr>
          <w:rFonts w:cs="Arial"/>
          <w:lang w:val="hr-HR"/>
        </w:rPr>
        <w:t xml:space="preserve"> </w:t>
      </w:r>
      <w:r w:rsidRPr="00C62C6A">
        <w:rPr>
          <w:rFonts w:cs="Arial"/>
        </w:rPr>
        <w:t>koji</w:t>
      </w:r>
      <w:r w:rsidRPr="00080FAF">
        <w:rPr>
          <w:rFonts w:cs="Arial"/>
          <w:lang w:val="hr-HR"/>
        </w:rPr>
        <w:t xml:space="preserve"> </w:t>
      </w:r>
      <w:r w:rsidRPr="00C62C6A">
        <w:rPr>
          <w:rFonts w:cs="Arial"/>
        </w:rPr>
        <w:t>je</w:t>
      </w:r>
      <w:r w:rsidRPr="00080FAF">
        <w:rPr>
          <w:rFonts w:cs="Arial"/>
          <w:lang w:val="hr-HR"/>
        </w:rPr>
        <w:t xml:space="preserve"> </w:t>
      </w:r>
      <w:r w:rsidRPr="00C62C6A">
        <w:rPr>
          <w:rFonts w:cs="Arial"/>
        </w:rPr>
        <w:t>ujedno</w:t>
      </w:r>
      <w:r w:rsidRPr="00080FAF">
        <w:rPr>
          <w:rFonts w:cs="Arial"/>
          <w:lang w:val="hr-HR"/>
        </w:rPr>
        <w:t xml:space="preserve"> </w:t>
      </w:r>
      <w:r w:rsidRPr="00C62C6A">
        <w:rPr>
          <w:rFonts w:cs="Arial"/>
        </w:rPr>
        <w:t>i</w:t>
      </w:r>
      <w:r w:rsidRPr="00080FAF">
        <w:rPr>
          <w:rFonts w:cs="Arial"/>
          <w:lang w:val="hr-HR"/>
        </w:rPr>
        <w:t xml:space="preserve"> č</w:t>
      </w:r>
      <w:r w:rsidRPr="00C62C6A">
        <w:rPr>
          <w:rFonts w:cs="Arial"/>
        </w:rPr>
        <w:t>lan</w:t>
      </w:r>
      <w:r w:rsidRPr="00080FAF">
        <w:rPr>
          <w:rFonts w:cs="Arial"/>
          <w:lang w:val="hr-HR"/>
        </w:rPr>
        <w:t xml:space="preserve"> </w:t>
      </w:r>
      <w:r w:rsidRPr="00C62C6A">
        <w:rPr>
          <w:rFonts w:cs="Arial"/>
        </w:rPr>
        <w:t>Odbora</w:t>
      </w:r>
      <w:r w:rsidRPr="00080FAF">
        <w:rPr>
          <w:rFonts w:cs="Arial"/>
          <w:lang w:val="hr-HR"/>
        </w:rPr>
        <w:t xml:space="preserve"> </w:t>
      </w:r>
      <w:r w:rsidRPr="00C62C6A">
        <w:rPr>
          <w:rFonts w:cs="Arial"/>
        </w:rPr>
        <w:t>za</w:t>
      </w:r>
      <w:r w:rsidRPr="00080FAF">
        <w:rPr>
          <w:rFonts w:cs="Arial"/>
          <w:lang w:val="hr-HR"/>
        </w:rPr>
        <w:t xml:space="preserve"> </w:t>
      </w:r>
      <w:r w:rsidRPr="00C62C6A">
        <w:rPr>
          <w:rFonts w:cs="Arial"/>
        </w:rPr>
        <w:t>naknade</w:t>
      </w:r>
      <w:r w:rsidRPr="00080FAF">
        <w:rPr>
          <w:rFonts w:cs="Arial"/>
          <w:lang w:val="hr-HR"/>
        </w:rPr>
        <w:t xml:space="preserve"> </w:t>
      </w:r>
      <w:r w:rsidRPr="00C62C6A">
        <w:rPr>
          <w:rFonts w:cs="Arial"/>
        </w:rPr>
        <w:t>i</w:t>
      </w:r>
      <w:r w:rsidRPr="00080FAF">
        <w:rPr>
          <w:rFonts w:cs="Arial"/>
          <w:lang w:val="hr-HR"/>
        </w:rPr>
        <w:t xml:space="preserve"> </w:t>
      </w:r>
      <w:r w:rsidRPr="00C62C6A">
        <w:rPr>
          <w:rFonts w:cs="Arial"/>
        </w:rPr>
        <w:t>imenovanja</w:t>
      </w:r>
      <w:r w:rsidRPr="00080FAF">
        <w:rPr>
          <w:rFonts w:cs="Arial"/>
          <w:lang w:val="hr-HR"/>
        </w:rPr>
        <w:t xml:space="preserve"> </w:t>
      </w:r>
      <w:r w:rsidRPr="00C62C6A">
        <w:rPr>
          <w:rFonts w:cs="Arial"/>
        </w:rPr>
        <w:t>Nadzornog</w:t>
      </w:r>
      <w:r w:rsidRPr="00080FAF">
        <w:rPr>
          <w:rFonts w:cs="Arial"/>
          <w:lang w:val="hr-HR"/>
        </w:rPr>
        <w:t xml:space="preserve"> </w:t>
      </w:r>
      <w:r w:rsidRPr="00C62C6A">
        <w:rPr>
          <w:rFonts w:cs="Arial"/>
        </w:rPr>
        <w:t>odbora</w:t>
      </w:r>
      <w:r w:rsidRPr="00080FAF">
        <w:rPr>
          <w:rFonts w:cs="Arial"/>
          <w:lang w:val="hr-HR"/>
        </w:rPr>
        <w:t xml:space="preserve"> </w:t>
      </w:r>
      <w:r w:rsidRPr="00C62C6A">
        <w:rPr>
          <w:rFonts w:cs="Arial"/>
        </w:rPr>
        <w:t>iznosi</w:t>
      </w:r>
      <w:r w:rsidRPr="00080FAF">
        <w:rPr>
          <w:rFonts w:cs="Arial"/>
          <w:lang w:val="hr-HR"/>
        </w:rPr>
        <w:t xml:space="preserve"> 1,25 </w:t>
      </w:r>
      <w:r w:rsidRPr="00C62C6A">
        <w:rPr>
          <w:rFonts w:cs="Arial"/>
        </w:rPr>
        <w:t>prosje</w:t>
      </w:r>
      <w:r w:rsidRPr="00080FAF">
        <w:rPr>
          <w:rFonts w:cs="Arial"/>
          <w:lang w:val="hr-HR"/>
        </w:rPr>
        <w:t>č</w:t>
      </w:r>
      <w:r w:rsidRPr="00C62C6A">
        <w:rPr>
          <w:rFonts w:cs="Arial"/>
        </w:rPr>
        <w:t>ne</w:t>
      </w:r>
      <w:r w:rsidRPr="00080FAF">
        <w:rPr>
          <w:rFonts w:cs="Arial"/>
          <w:lang w:val="hr-HR"/>
        </w:rPr>
        <w:t xml:space="preserve"> </w:t>
      </w:r>
      <w:r w:rsidRPr="00C62C6A">
        <w:rPr>
          <w:rFonts w:cs="Arial"/>
        </w:rPr>
        <w:t>pla</w:t>
      </w:r>
      <w:r w:rsidRPr="00080FAF">
        <w:rPr>
          <w:rFonts w:cs="Arial"/>
          <w:lang w:val="hr-HR"/>
        </w:rPr>
        <w:t>ć</w:t>
      </w:r>
      <w:r w:rsidRPr="00C62C6A">
        <w:rPr>
          <w:rFonts w:cs="Arial"/>
        </w:rPr>
        <w:t>e</w:t>
      </w:r>
      <w:r w:rsidRPr="00080FAF">
        <w:rPr>
          <w:rFonts w:cs="Arial"/>
          <w:lang w:val="hr-HR"/>
        </w:rPr>
        <w:t xml:space="preserve"> </w:t>
      </w:r>
      <w:r w:rsidRPr="00C62C6A">
        <w:rPr>
          <w:rFonts w:cs="Arial"/>
        </w:rPr>
        <w:t>zaposlenika</w:t>
      </w:r>
      <w:r w:rsidRPr="00080FAF">
        <w:rPr>
          <w:rFonts w:cs="Arial"/>
          <w:lang w:val="hr-HR"/>
        </w:rPr>
        <w:t xml:space="preserve"> </w:t>
      </w:r>
      <w:r w:rsidRPr="00C62C6A">
        <w:rPr>
          <w:rFonts w:cs="Arial"/>
        </w:rPr>
        <w:t>Dru</w:t>
      </w:r>
      <w:r w:rsidRPr="00080FAF">
        <w:rPr>
          <w:rFonts w:cs="Arial"/>
          <w:lang w:val="hr-HR"/>
        </w:rPr>
        <w:t>š</w:t>
      </w:r>
      <w:r w:rsidRPr="00C62C6A">
        <w:rPr>
          <w:rFonts w:cs="Arial"/>
        </w:rPr>
        <w:t>tva</w:t>
      </w:r>
      <w:r w:rsidRPr="00080FAF">
        <w:rPr>
          <w:rFonts w:cs="Arial"/>
          <w:lang w:val="hr-HR"/>
        </w:rPr>
        <w:t xml:space="preserve"> </w:t>
      </w:r>
      <w:r w:rsidRPr="00C62C6A">
        <w:rPr>
          <w:rFonts w:cs="Arial"/>
        </w:rPr>
        <w:t>ispla</w:t>
      </w:r>
      <w:r w:rsidRPr="00080FAF">
        <w:rPr>
          <w:rFonts w:cs="Arial"/>
          <w:lang w:val="hr-HR"/>
        </w:rPr>
        <w:t>ć</w:t>
      </w:r>
      <w:r w:rsidRPr="00C62C6A">
        <w:rPr>
          <w:rFonts w:cs="Arial"/>
        </w:rPr>
        <w:t>ene</w:t>
      </w:r>
      <w:r w:rsidRPr="00080FAF">
        <w:rPr>
          <w:rFonts w:cs="Arial"/>
          <w:lang w:val="hr-HR"/>
        </w:rPr>
        <w:t xml:space="preserve"> </w:t>
      </w:r>
      <w:r w:rsidRPr="00C62C6A">
        <w:rPr>
          <w:rFonts w:cs="Arial"/>
        </w:rPr>
        <w:t>u</w:t>
      </w:r>
      <w:r w:rsidRPr="00080FAF">
        <w:rPr>
          <w:rFonts w:cs="Arial"/>
          <w:lang w:val="hr-HR"/>
        </w:rPr>
        <w:t xml:space="preserve"> </w:t>
      </w:r>
      <w:r w:rsidRPr="00C62C6A">
        <w:rPr>
          <w:rFonts w:cs="Arial"/>
        </w:rPr>
        <w:t>prethodnom</w:t>
      </w:r>
      <w:r w:rsidRPr="00080FAF">
        <w:rPr>
          <w:rFonts w:cs="Arial"/>
          <w:lang w:val="hr-HR"/>
        </w:rPr>
        <w:t xml:space="preserve"> </w:t>
      </w:r>
      <w:r w:rsidRPr="00C62C6A">
        <w:rPr>
          <w:rFonts w:cs="Arial"/>
        </w:rPr>
        <w:t>mjesecu</w:t>
      </w:r>
      <w:r w:rsidRPr="00080FAF">
        <w:rPr>
          <w:rFonts w:cs="Arial"/>
          <w:lang w:val="hr-HR"/>
        </w:rPr>
        <w:t xml:space="preserve">. </w:t>
      </w:r>
      <w:r>
        <w:rPr>
          <w:rFonts w:cs="Arial"/>
        </w:rPr>
        <w:t>S</w:t>
      </w:r>
      <w:r w:rsidRPr="00B04E3E">
        <w:rPr>
          <w:rFonts w:cs="Arial"/>
        </w:rPr>
        <w:t>ukladno</w:t>
      </w:r>
      <w:r w:rsidRPr="00080FAF">
        <w:rPr>
          <w:rFonts w:cs="Arial"/>
          <w:lang w:val="hr-HR"/>
        </w:rPr>
        <w:t xml:space="preserve"> </w:t>
      </w:r>
      <w:r w:rsidRPr="00B04E3E">
        <w:rPr>
          <w:rFonts w:cs="Arial"/>
        </w:rPr>
        <w:t>politici</w:t>
      </w:r>
      <w:r w:rsidRPr="00080FAF">
        <w:rPr>
          <w:rFonts w:cs="Arial"/>
          <w:lang w:val="hr-HR"/>
        </w:rPr>
        <w:t xml:space="preserve"> </w:t>
      </w:r>
      <w:r w:rsidRPr="00B04E3E">
        <w:rPr>
          <w:rFonts w:cs="Arial"/>
        </w:rPr>
        <w:t>DTAG</w:t>
      </w:r>
      <w:r w:rsidRPr="00080FAF">
        <w:rPr>
          <w:rFonts w:cs="Arial"/>
          <w:lang w:val="hr-HR"/>
        </w:rPr>
        <w:t>-</w:t>
      </w:r>
      <w:r w:rsidRPr="00B04E3E">
        <w:rPr>
          <w:rFonts w:cs="Arial"/>
        </w:rPr>
        <w:t>a</w:t>
      </w:r>
      <w:r w:rsidRPr="00080FAF">
        <w:rPr>
          <w:rFonts w:cs="Arial"/>
          <w:lang w:val="hr-HR"/>
        </w:rPr>
        <w:t xml:space="preserve">, </w:t>
      </w:r>
      <w:r w:rsidRPr="00B04E3E">
        <w:rPr>
          <w:rFonts w:cs="Arial"/>
        </w:rPr>
        <w:t>predstavnici</w:t>
      </w:r>
      <w:r w:rsidRPr="00080FAF">
        <w:rPr>
          <w:rFonts w:cs="Arial"/>
          <w:lang w:val="hr-HR"/>
        </w:rPr>
        <w:t xml:space="preserve"> </w:t>
      </w:r>
      <w:r w:rsidRPr="00B04E3E">
        <w:rPr>
          <w:rFonts w:cs="Arial"/>
        </w:rPr>
        <w:t>DTAG</w:t>
      </w:r>
      <w:r w:rsidRPr="00080FAF">
        <w:rPr>
          <w:rFonts w:cs="Arial"/>
          <w:lang w:val="hr-HR"/>
        </w:rPr>
        <w:t>-</w:t>
      </w:r>
      <w:r w:rsidRPr="00B04E3E">
        <w:rPr>
          <w:rFonts w:cs="Arial"/>
        </w:rPr>
        <w:t>a</w:t>
      </w:r>
      <w:r w:rsidRPr="00080FAF">
        <w:rPr>
          <w:rFonts w:cs="Arial"/>
          <w:lang w:val="hr-HR"/>
        </w:rPr>
        <w:t xml:space="preserve"> </w:t>
      </w:r>
      <w:r w:rsidRPr="00B04E3E">
        <w:rPr>
          <w:rFonts w:cs="Arial"/>
        </w:rPr>
        <w:t>ne</w:t>
      </w:r>
      <w:r w:rsidRPr="00080FAF">
        <w:rPr>
          <w:rFonts w:cs="Arial"/>
          <w:lang w:val="hr-HR"/>
        </w:rPr>
        <w:t xml:space="preserve"> </w:t>
      </w:r>
      <w:r w:rsidRPr="00B04E3E">
        <w:rPr>
          <w:rFonts w:cs="Arial"/>
        </w:rPr>
        <w:t>dobivaju</w:t>
      </w:r>
      <w:r w:rsidRPr="00080FAF">
        <w:rPr>
          <w:rFonts w:cs="Arial"/>
          <w:lang w:val="hr-HR"/>
        </w:rPr>
        <w:t xml:space="preserve"> </w:t>
      </w:r>
      <w:r w:rsidRPr="00B04E3E">
        <w:rPr>
          <w:rFonts w:cs="Arial"/>
        </w:rPr>
        <w:t>naknadu</w:t>
      </w:r>
      <w:r w:rsidRPr="00080FAF">
        <w:rPr>
          <w:rFonts w:cs="Arial"/>
          <w:lang w:val="hr-HR"/>
        </w:rPr>
        <w:t xml:space="preserve"> </w:t>
      </w:r>
      <w:r w:rsidRPr="00B04E3E">
        <w:rPr>
          <w:rFonts w:cs="Arial"/>
        </w:rPr>
        <w:t>za</w:t>
      </w:r>
      <w:r w:rsidRPr="00080FAF">
        <w:rPr>
          <w:rFonts w:cs="Arial"/>
          <w:lang w:val="hr-HR"/>
        </w:rPr>
        <w:t xml:space="preserve"> č</w:t>
      </w:r>
      <w:r w:rsidRPr="00B04E3E">
        <w:rPr>
          <w:rFonts w:cs="Arial"/>
        </w:rPr>
        <w:t>lanstvo</w:t>
      </w:r>
      <w:r w:rsidRPr="00080FAF">
        <w:rPr>
          <w:rFonts w:cs="Arial"/>
          <w:lang w:val="hr-HR"/>
        </w:rPr>
        <w:t xml:space="preserve"> </w:t>
      </w:r>
      <w:r w:rsidRPr="00B04E3E">
        <w:rPr>
          <w:rFonts w:cs="Arial"/>
        </w:rPr>
        <w:t>u</w:t>
      </w:r>
      <w:r w:rsidRPr="00080FAF">
        <w:rPr>
          <w:rFonts w:cs="Arial"/>
          <w:lang w:val="hr-HR"/>
        </w:rPr>
        <w:t xml:space="preserve"> </w:t>
      </w:r>
      <w:r w:rsidRPr="00B04E3E">
        <w:rPr>
          <w:rFonts w:cs="Arial"/>
        </w:rPr>
        <w:t>Nadzornom</w:t>
      </w:r>
      <w:r w:rsidRPr="00080FAF">
        <w:rPr>
          <w:rFonts w:cs="Arial"/>
          <w:lang w:val="hr-HR"/>
        </w:rPr>
        <w:t xml:space="preserve"> </w:t>
      </w:r>
      <w:r w:rsidRPr="00B04E3E">
        <w:rPr>
          <w:rFonts w:cs="Arial"/>
        </w:rPr>
        <w:t>odboru</w:t>
      </w:r>
      <w:r w:rsidRPr="00080FAF">
        <w:rPr>
          <w:rFonts w:cs="Arial"/>
          <w:lang w:val="hr-HR"/>
        </w:rPr>
        <w:t>.</w:t>
      </w:r>
    </w:p>
    <w:p w:rsidR="003E4626" w:rsidRPr="00B87759" w:rsidRDefault="003E4626" w:rsidP="00BA5338">
      <w:pPr>
        <w:pStyle w:val="T3"/>
        <w:rPr>
          <w:sz w:val="20"/>
        </w:rPr>
      </w:pPr>
      <w:r w:rsidRPr="00B87759">
        <w:rPr>
          <w:sz w:val="20"/>
        </w:rPr>
        <w:t xml:space="preserve">U </w:t>
      </w:r>
      <w:r>
        <w:rPr>
          <w:snapToGrid w:val="0"/>
          <w:sz w:val="20"/>
        </w:rPr>
        <w:t>prvih devet mjeseci 2011</w:t>
      </w:r>
      <w:r w:rsidRPr="00B87759">
        <w:rPr>
          <w:snapToGrid w:val="0"/>
          <w:sz w:val="20"/>
        </w:rPr>
        <w:t>.</w:t>
      </w:r>
      <w:r w:rsidRPr="00B87759">
        <w:rPr>
          <w:sz w:val="20"/>
        </w:rPr>
        <w:t xml:space="preserve"> godine Društvo </w:t>
      </w:r>
      <w:r>
        <w:rPr>
          <w:sz w:val="20"/>
        </w:rPr>
        <w:t>je isplatilo ukupan iznos od 0,5</w:t>
      </w:r>
      <w:r w:rsidRPr="00B87759">
        <w:rPr>
          <w:sz w:val="20"/>
        </w:rPr>
        <w:t xml:space="preserve"> milijuna kuna (</w:t>
      </w:r>
      <w:r>
        <w:rPr>
          <w:snapToGrid w:val="0"/>
          <w:sz w:val="20"/>
        </w:rPr>
        <w:t>prvih devet mjeseci 2010</w:t>
      </w:r>
      <w:r>
        <w:rPr>
          <w:sz w:val="20"/>
        </w:rPr>
        <w:t>. godine 0,5</w:t>
      </w:r>
      <w:r w:rsidRPr="00B87759">
        <w:rPr>
          <w:sz w:val="20"/>
        </w:rPr>
        <w:t xml:space="preserve"> milijuna kuna) članovima Nadzornog Odbora. Društvo nije dalo kredite članovima Nadzornog Odbora.</w:t>
      </w:r>
    </w:p>
    <w:p w:rsidR="003E4626" w:rsidRDefault="003E4626" w:rsidP="00BA5338">
      <w:pPr>
        <w:pStyle w:val="T10"/>
        <w:rPr>
          <w:rFonts w:cs="Arial"/>
          <w:i/>
          <w:sz w:val="20"/>
        </w:rPr>
      </w:pPr>
    </w:p>
    <w:p w:rsidR="003E4626" w:rsidRDefault="003E4626" w:rsidP="00BA5338">
      <w:pPr>
        <w:pStyle w:val="T10"/>
        <w:rPr>
          <w:rFonts w:cs="Arial"/>
          <w:i/>
          <w:sz w:val="20"/>
        </w:rPr>
      </w:pPr>
    </w:p>
    <w:p w:rsidR="003E4626" w:rsidRPr="00B87759" w:rsidRDefault="003E4626" w:rsidP="00BA5338">
      <w:pPr>
        <w:pStyle w:val="T10"/>
        <w:rPr>
          <w:rFonts w:cs="Arial"/>
          <w:i/>
          <w:snapToGrid w:val="0"/>
          <w:sz w:val="20"/>
          <w:lang w:val="hr-HR"/>
        </w:rPr>
      </w:pPr>
      <w:r w:rsidRPr="00B87759">
        <w:rPr>
          <w:rFonts w:cs="Arial"/>
          <w:i/>
          <w:sz w:val="20"/>
        </w:rPr>
        <w:t>Naknade</w:t>
      </w:r>
      <w:r w:rsidRPr="00B87759">
        <w:rPr>
          <w:rFonts w:cs="Arial"/>
          <w:i/>
          <w:snapToGrid w:val="0"/>
          <w:sz w:val="20"/>
          <w:lang w:val="hr-HR"/>
        </w:rPr>
        <w:t xml:space="preserve"> </w:t>
      </w:r>
      <w:r w:rsidRPr="00B87759">
        <w:rPr>
          <w:rFonts w:cs="Arial"/>
          <w:i/>
          <w:snapToGrid w:val="0"/>
          <w:sz w:val="20"/>
        </w:rPr>
        <w:t>ispla</w:t>
      </w:r>
      <w:r w:rsidRPr="00B87759">
        <w:rPr>
          <w:rFonts w:cs="Arial"/>
          <w:i/>
          <w:snapToGrid w:val="0"/>
          <w:sz w:val="20"/>
          <w:lang w:val="hr-HR"/>
        </w:rPr>
        <w:t>ć</w:t>
      </w:r>
      <w:r w:rsidRPr="00B87759">
        <w:rPr>
          <w:rFonts w:cs="Arial"/>
          <w:i/>
          <w:snapToGrid w:val="0"/>
          <w:sz w:val="20"/>
        </w:rPr>
        <w:t>ene</w:t>
      </w:r>
      <w:r w:rsidRPr="00B87759">
        <w:rPr>
          <w:rFonts w:cs="Arial"/>
          <w:i/>
          <w:snapToGrid w:val="0"/>
          <w:sz w:val="20"/>
          <w:lang w:val="hr-HR"/>
        </w:rPr>
        <w:t xml:space="preserve"> </w:t>
      </w:r>
      <w:r w:rsidRPr="00B87759">
        <w:rPr>
          <w:rFonts w:cs="Arial"/>
          <w:i/>
          <w:snapToGrid w:val="0"/>
          <w:sz w:val="20"/>
        </w:rPr>
        <w:t>klju</w:t>
      </w:r>
      <w:r w:rsidRPr="00B87759">
        <w:rPr>
          <w:rFonts w:cs="Arial"/>
          <w:i/>
          <w:snapToGrid w:val="0"/>
          <w:sz w:val="20"/>
          <w:lang w:val="hr-HR"/>
        </w:rPr>
        <w:t>č</w:t>
      </w:r>
      <w:r w:rsidRPr="00B87759">
        <w:rPr>
          <w:rFonts w:cs="Arial"/>
          <w:i/>
          <w:snapToGrid w:val="0"/>
          <w:sz w:val="20"/>
        </w:rPr>
        <w:t>nim</w:t>
      </w:r>
      <w:r w:rsidRPr="00B87759">
        <w:rPr>
          <w:rFonts w:cs="Arial"/>
          <w:i/>
          <w:snapToGrid w:val="0"/>
          <w:sz w:val="20"/>
          <w:lang w:val="hr-HR"/>
        </w:rPr>
        <w:t xml:space="preserve"> č</w:t>
      </w:r>
      <w:r w:rsidRPr="00B87759">
        <w:rPr>
          <w:rFonts w:cs="Arial"/>
          <w:i/>
          <w:snapToGrid w:val="0"/>
          <w:sz w:val="20"/>
        </w:rPr>
        <w:t>lanovima</w:t>
      </w:r>
      <w:r w:rsidRPr="00B87759">
        <w:rPr>
          <w:rFonts w:cs="Arial"/>
          <w:i/>
          <w:snapToGrid w:val="0"/>
          <w:sz w:val="20"/>
          <w:lang w:val="hr-HR"/>
        </w:rPr>
        <w:t xml:space="preserve"> </w:t>
      </w:r>
      <w:r w:rsidRPr="00B87759">
        <w:rPr>
          <w:rFonts w:cs="Arial"/>
          <w:i/>
          <w:snapToGrid w:val="0"/>
          <w:sz w:val="20"/>
        </w:rPr>
        <w:t>menad</w:t>
      </w:r>
      <w:r w:rsidRPr="00B87759">
        <w:rPr>
          <w:rFonts w:cs="Arial"/>
          <w:i/>
          <w:snapToGrid w:val="0"/>
          <w:sz w:val="20"/>
          <w:lang w:val="hr-HR"/>
        </w:rPr>
        <w:t>ž</w:t>
      </w:r>
      <w:r w:rsidRPr="00B87759">
        <w:rPr>
          <w:rFonts w:cs="Arial"/>
          <w:i/>
          <w:snapToGrid w:val="0"/>
          <w:sz w:val="20"/>
        </w:rPr>
        <w:t>menta</w:t>
      </w:r>
    </w:p>
    <w:p w:rsidR="003E4626" w:rsidRPr="003450B8" w:rsidRDefault="003E4626" w:rsidP="00BA5338">
      <w:pPr>
        <w:pStyle w:val="T10"/>
        <w:rPr>
          <w:lang w:val="hr-HR"/>
        </w:rPr>
      </w:pPr>
      <w:r w:rsidRPr="00B87759">
        <w:rPr>
          <w:rFonts w:cs="Arial"/>
          <w:snapToGrid w:val="0"/>
          <w:sz w:val="20"/>
        </w:rPr>
        <w:t>Ukupan</w:t>
      </w:r>
      <w:r w:rsidRPr="00B87759">
        <w:rPr>
          <w:rFonts w:cs="Arial"/>
          <w:snapToGrid w:val="0"/>
          <w:sz w:val="20"/>
          <w:lang w:val="hr-HR"/>
        </w:rPr>
        <w:t xml:space="preserve"> </w:t>
      </w:r>
      <w:r w:rsidRPr="00B87759">
        <w:rPr>
          <w:rFonts w:cs="Arial"/>
          <w:snapToGrid w:val="0"/>
          <w:sz w:val="20"/>
        </w:rPr>
        <w:t>iznos</w:t>
      </w:r>
      <w:r w:rsidRPr="00B87759">
        <w:rPr>
          <w:rFonts w:cs="Arial"/>
          <w:snapToGrid w:val="0"/>
          <w:sz w:val="20"/>
          <w:lang w:val="hr-HR"/>
        </w:rPr>
        <w:t xml:space="preserve"> </w:t>
      </w:r>
      <w:r w:rsidRPr="00B87759">
        <w:rPr>
          <w:rFonts w:cs="Arial"/>
          <w:snapToGrid w:val="0"/>
          <w:sz w:val="20"/>
        </w:rPr>
        <w:t>naknada</w:t>
      </w:r>
      <w:r w:rsidRPr="00B87759">
        <w:rPr>
          <w:rFonts w:cs="Arial"/>
          <w:snapToGrid w:val="0"/>
          <w:sz w:val="20"/>
          <w:lang w:val="hr-HR"/>
        </w:rPr>
        <w:t xml:space="preserve"> </w:t>
      </w:r>
      <w:r w:rsidRPr="00B87759">
        <w:rPr>
          <w:rFonts w:cs="Arial"/>
          <w:snapToGrid w:val="0"/>
          <w:sz w:val="20"/>
        </w:rPr>
        <w:t>klju</w:t>
      </w:r>
      <w:r w:rsidRPr="00B87759">
        <w:rPr>
          <w:rFonts w:cs="Arial"/>
          <w:snapToGrid w:val="0"/>
          <w:sz w:val="20"/>
          <w:lang w:val="hr-HR"/>
        </w:rPr>
        <w:t>č</w:t>
      </w:r>
      <w:r w:rsidRPr="00B87759">
        <w:rPr>
          <w:rFonts w:cs="Arial"/>
          <w:snapToGrid w:val="0"/>
          <w:sz w:val="20"/>
        </w:rPr>
        <w:t>nim</w:t>
      </w:r>
      <w:r w:rsidRPr="00B87759">
        <w:rPr>
          <w:rFonts w:cs="Arial"/>
          <w:snapToGrid w:val="0"/>
          <w:sz w:val="20"/>
          <w:lang w:val="hr-HR"/>
        </w:rPr>
        <w:t xml:space="preserve"> č</w:t>
      </w:r>
      <w:r w:rsidRPr="00B87759">
        <w:rPr>
          <w:rFonts w:cs="Arial"/>
          <w:snapToGrid w:val="0"/>
          <w:sz w:val="20"/>
        </w:rPr>
        <w:t>lanovima</w:t>
      </w:r>
      <w:r w:rsidRPr="00B87759">
        <w:rPr>
          <w:rFonts w:cs="Arial"/>
          <w:snapToGrid w:val="0"/>
          <w:sz w:val="20"/>
          <w:lang w:val="hr-HR"/>
        </w:rPr>
        <w:t xml:space="preserve"> </w:t>
      </w:r>
      <w:r w:rsidRPr="00B87759">
        <w:rPr>
          <w:rFonts w:cs="Arial"/>
          <w:snapToGrid w:val="0"/>
          <w:sz w:val="20"/>
        </w:rPr>
        <w:t>menad</w:t>
      </w:r>
      <w:r w:rsidRPr="00B87759">
        <w:rPr>
          <w:rFonts w:cs="Arial"/>
          <w:snapToGrid w:val="0"/>
          <w:sz w:val="20"/>
          <w:lang w:val="hr-HR"/>
        </w:rPr>
        <w:t>ž</w:t>
      </w:r>
      <w:r w:rsidRPr="00B87759">
        <w:rPr>
          <w:rFonts w:cs="Arial"/>
          <w:snapToGrid w:val="0"/>
          <w:sz w:val="20"/>
        </w:rPr>
        <w:t>menta</w:t>
      </w:r>
      <w:r w:rsidRPr="00B87759">
        <w:rPr>
          <w:rFonts w:cs="Arial"/>
          <w:snapToGrid w:val="0"/>
          <w:sz w:val="20"/>
          <w:lang w:val="hr-HR"/>
        </w:rPr>
        <w:t xml:space="preserve"> </w:t>
      </w:r>
      <w:r w:rsidRPr="00B87759">
        <w:rPr>
          <w:rFonts w:cs="Arial"/>
          <w:snapToGrid w:val="0"/>
          <w:sz w:val="20"/>
        </w:rPr>
        <w:t>Grupe</w:t>
      </w:r>
      <w:r w:rsidRPr="00B87759">
        <w:rPr>
          <w:rFonts w:cs="Arial"/>
          <w:snapToGrid w:val="0"/>
          <w:sz w:val="20"/>
          <w:lang w:val="hr-HR"/>
        </w:rPr>
        <w:t xml:space="preserve"> </w:t>
      </w:r>
      <w:r w:rsidRPr="00B87759">
        <w:rPr>
          <w:rFonts w:cs="Arial"/>
          <w:snapToGrid w:val="0"/>
          <w:sz w:val="20"/>
        </w:rPr>
        <w:t>za</w:t>
      </w:r>
      <w:r w:rsidRPr="00B87759">
        <w:rPr>
          <w:rFonts w:cs="Arial"/>
          <w:snapToGrid w:val="0"/>
          <w:sz w:val="20"/>
          <w:lang w:val="hr-HR"/>
        </w:rPr>
        <w:t xml:space="preserve"> </w:t>
      </w:r>
      <w:r>
        <w:rPr>
          <w:rFonts w:cs="Arial"/>
          <w:snapToGrid w:val="0"/>
          <w:sz w:val="20"/>
        </w:rPr>
        <w:t>prvih</w:t>
      </w:r>
      <w:r w:rsidRPr="000D17BB">
        <w:rPr>
          <w:rFonts w:cs="Arial"/>
          <w:snapToGrid w:val="0"/>
          <w:sz w:val="20"/>
          <w:lang w:val="hr-HR"/>
        </w:rPr>
        <w:t xml:space="preserve"> </w:t>
      </w:r>
      <w:r>
        <w:rPr>
          <w:rFonts w:cs="Arial"/>
          <w:snapToGrid w:val="0"/>
          <w:sz w:val="20"/>
          <w:lang w:val="hr-HR"/>
        </w:rPr>
        <w:t>devet</w:t>
      </w:r>
      <w:r w:rsidRPr="00B87759">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B87759">
        <w:rPr>
          <w:rFonts w:cs="Arial"/>
          <w:snapToGrid w:val="0"/>
          <w:sz w:val="20"/>
          <w:lang w:val="hr-HR"/>
        </w:rPr>
        <w:t xml:space="preserve">. </w:t>
      </w:r>
      <w:r w:rsidRPr="00B87759">
        <w:rPr>
          <w:rFonts w:cs="Arial"/>
          <w:snapToGrid w:val="0"/>
          <w:sz w:val="20"/>
        </w:rPr>
        <w:t>godine</w:t>
      </w:r>
      <w:r w:rsidRPr="00B87759">
        <w:rPr>
          <w:rFonts w:cs="Arial"/>
          <w:snapToGrid w:val="0"/>
          <w:sz w:val="20"/>
          <w:lang w:val="hr-HR"/>
        </w:rPr>
        <w:t xml:space="preserve"> </w:t>
      </w:r>
      <w:r w:rsidRPr="00DC5E48">
        <w:rPr>
          <w:rFonts w:cs="Arial"/>
          <w:snapToGrid w:val="0"/>
          <w:sz w:val="20"/>
        </w:rPr>
        <w:t>iznosi</w:t>
      </w:r>
      <w:r w:rsidRPr="00DC5E48">
        <w:rPr>
          <w:rFonts w:cs="Arial"/>
          <w:snapToGrid w:val="0"/>
          <w:sz w:val="20"/>
          <w:lang w:val="hr-HR"/>
        </w:rPr>
        <w:t xml:space="preserve"> </w:t>
      </w:r>
      <w:r>
        <w:rPr>
          <w:rFonts w:cs="Arial"/>
          <w:snapToGrid w:val="0"/>
          <w:sz w:val="20"/>
          <w:lang w:val="hr-HR"/>
        </w:rPr>
        <w:t>3</w:t>
      </w:r>
      <w:r w:rsidRPr="00DC5E48">
        <w:rPr>
          <w:rFonts w:cs="Arial"/>
          <w:snapToGrid w:val="0"/>
          <w:sz w:val="20"/>
          <w:lang w:val="hr-HR"/>
        </w:rPr>
        <w:t xml:space="preserve">5 </w:t>
      </w:r>
      <w:r w:rsidRPr="00DC5E48">
        <w:rPr>
          <w:rFonts w:cs="Arial"/>
          <w:snapToGrid w:val="0"/>
          <w:sz w:val="20"/>
        </w:rPr>
        <w:t>milijuna</w:t>
      </w:r>
      <w:r w:rsidRPr="00DC5E48">
        <w:rPr>
          <w:rFonts w:cs="Arial"/>
          <w:snapToGrid w:val="0"/>
          <w:sz w:val="20"/>
          <w:lang w:val="hr-HR"/>
        </w:rPr>
        <w:t xml:space="preserve"> </w:t>
      </w:r>
      <w:r w:rsidRPr="00DC5E48">
        <w:rPr>
          <w:rFonts w:cs="Arial"/>
          <w:snapToGrid w:val="0"/>
          <w:sz w:val="20"/>
        </w:rPr>
        <w:t>ku</w:t>
      </w:r>
      <w:r w:rsidRPr="00B87759">
        <w:rPr>
          <w:rFonts w:cs="Arial"/>
          <w:snapToGrid w:val="0"/>
          <w:sz w:val="20"/>
        </w:rPr>
        <w:t>na</w:t>
      </w:r>
      <w:r w:rsidRPr="00B87759">
        <w:rPr>
          <w:rFonts w:cs="Arial"/>
          <w:snapToGrid w:val="0"/>
          <w:sz w:val="20"/>
          <w:lang w:val="hr-HR"/>
        </w:rPr>
        <w:t xml:space="preserve"> (</w:t>
      </w:r>
      <w:r>
        <w:rPr>
          <w:rFonts w:cs="Arial"/>
          <w:snapToGrid w:val="0"/>
          <w:sz w:val="20"/>
        </w:rPr>
        <w:t>prvih</w:t>
      </w:r>
      <w:r w:rsidRPr="000D17BB">
        <w:rPr>
          <w:rFonts w:cs="Arial"/>
          <w:snapToGrid w:val="0"/>
          <w:sz w:val="20"/>
          <w:lang w:val="hr-HR"/>
        </w:rPr>
        <w:t xml:space="preserve"> </w:t>
      </w:r>
      <w:r>
        <w:rPr>
          <w:rFonts w:cs="Arial"/>
          <w:snapToGrid w:val="0"/>
          <w:sz w:val="20"/>
          <w:lang w:val="hr-HR"/>
        </w:rPr>
        <w:t>devet</w:t>
      </w:r>
      <w:r w:rsidRPr="00B87759">
        <w:rPr>
          <w:rFonts w:cs="Arial"/>
          <w:snapToGrid w:val="0"/>
          <w:sz w:val="20"/>
          <w:lang w:val="hr-HR"/>
        </w:rPr>
        <w:t xml:space="preserve"> </w:t>
      </w:r>
      <w:r>
        <w:rPr>
          <w:rFonts w:cs="Arial"/>
          <w:snapToGrid w:val="0"/>
          <w:sz w:val="20"/>
        </w:rPr>
        <w:t>mjeseci</w:t>
      </w:r>
      <w:r>
        <w:rPr>
          <w:rFonts w:cs="Arial"/>
          <w:snapToGrid w:val="0"/>
          <w:sz w:val="20"/>
          <w:lang w:val="hr-HR"/>
        </w:rPr>
        <w:t xml:space="preserve"> 2010</w:t>
      </w:r>
      <w:r w:rsidRPr="00B87759">
        <w:rPr>
          <w:rFonts w:cs="Arial"/>
          <w:snapToGrid w:val="0"/>
          <w:sz w:val="20"/>
          <w:lang w:val="hr-HR"/>
        </w:rPr>
        <w:t xml:space="preserve">. </w:t>
      </w:r>
      <w:r w:rsidRPr="00DC5E48">
        <w:rPr>
          <w:rFonts w:cs="Arial"/>
          <w:snapToGrid w:val="0"/>
          <w:sz w:val="20"/>
        </w:rPr>
        <w:t>godine</w:t>
      </w:r>
      <w:r w:rsidRPr="00DC5E48">
        <w:rPr>
          <w:rFonts w:cs="Arial"/>
          <w:snapToGrid w:val="0"/>
          <w:sz w:val="20"/>
          <w:lang w:val="hr-HR"/>
        </w:rPr>
        <w:t xml:space="preserve"> </w:t>
      </w:r>
      <w:r>
        <w:rPr>
          <w:rFonts w:cs="Arial"/>
          <w:snapToGrid w:val="0"/>
          <w:sz w:val="20"/>
          <w:lang w:val="hr-HR"/>
        </w:rPr>
        <w:t>28</w:t>
      </w:r>
      <w:r w:rsidRPr="00DC5E48">
        <w:rPr>
          <w:rFonts w:cs="Arial"/>
          <w:snapToGrid w:val="0"/>
          <w:sz w:val="20"/>
          <w:lang w:val="hr-HR"/>
        </w:rPr>
        <w:t xml:space="preserve"> </w:t>
      </w:r>
      <w:r w:rsidRPr="00DC5E48">
        <w:rPr>
          <w:rFonts w:cs="Arial"/>
          <w:snapToGrid w:val="0"/>
          <w:sz w:val="20"/>
        </w:rPr>
        <w:t>milijuna</w:t>
      </w:r>
      <w:r w:rsidRPr="00B87759">
        <w:rPr>
          <w:rFonts w:cs="Arial"/>
          <w:snapToGrid w:val="0"/>
          <w:sz w:val="20"/>
          <w:lang w:val="hr-HR"/>
        </w:rPr>
        <w:t xml:space="preserve"> </w:t>
      </w:r>
      <w:r w:rsidRPr="00B87759">
        <w:rPr>
          <w:rFonts w:cs="Arial"/>
          <w:snapToGrid w:val="0"/>
          <w:sz w:val="20"/>
        </w:rPr>
        <w:t>kuna</w:t>
      </w:r>
      <w:r w:rsidRPr="00B87759">
        <w:rPr>
          <w:rFonts w:cs="Arial"/>
          <w:snapToGrid w:val="0"/>
          <w:sz w:val="20"/>
          <w:lang w:val="hr-HR"/>
        </w:rPr>
        <w:t xml:space="preserve">). </w:t>
      </w:r>
      <w:r w:rsidRPr="00B04E3E">
        <w:t>Naknade</w:t>
      </w:r>
      <w:r w:rsidRPr="003450B8">
        <w:rPr>
          <w:lang w:val="hr-HR"/>
        </w:rPr>
        <w:t xml:space="preserve"> </w:t>
      </w:r>
      <w:r w:rsidRPr="00B04E3E">
        <w:t>klju</w:t>
      </w:r>
      <w:r w:rsidRPr="003450B8">
        <w:rPr>
          <w:lang w:val="hr-HR"/>
        </w:rPr>
        <w:t>č</w:t>
      </w:r>
      <w:r w:rsidRPr="00B04E3E">
        <w:t>nim</w:t>
      </w:r>
      <w:r w:rsidRPr="003450B8">
        <w:rPr>
          <w:lang w:val="hr-HR"/>
        </w:rPr>
        <w:t xml:space="preserve"> č</w:t>
      </w:r>
      <w:r w:rsidRPr="00B04E3E">
        <w:t>lanovima</w:t>
      </w:r>
      <w:r w:rsidRPr="003450B8">
        <w:rPr>
          <w:lang w:val="hr-HR"/>
        </w:rPr>
        <w:t xml:space="preserve"> </w:t>
      </w:r>
      <w:r w:rsidRPr="00B04E3E">
        <w:t>menad</w:t>
      </w:r>
      <w:r w:rsidRPr="003450B8">
        <w:rPr>
          <w:lang w:val="hr-HR"/>
        </w:rPr>
        <w:t>ž</w:t>
      </w:r>
      <w:r w:rsidRPr="00B04E3E">
        <w:t>menta</w:t>
      </w:r>
      <w:r w:rsidRPr="003450B8">
        <w:rPr>
          <w:lang w:val="hr-HR"/>
        </w:rPr>
        <w:t xml:space="preserve"> </w:t>
      </w:r>
      <w:r w:rsidRPr="00B04E3E">
        <w:t>odnose</w:t>
      </w:r>
      <w:r w:rsidRPr="003450B8">
        <w:rPr>
          <w:lang w:val="hr-HR"/>
        </w:rPr>
        <w:t xml:space="preserve"> </w:t>
      </w:r>
      <w:r w:rsidRPr="00B04E3E">
        <w:t>se</w:t>
      </w:r>
      <w:r w:rsidRPr="003450B8">
        <w:rPr>
          <w:lang w:val="hr-HR"/>
        </w:rPr>
        <w:t xml:space="preserve"> </w:t>
      </w:r>
      <w:r w:rsidRPr="00B04E3E">
        <w:t>na</w:t>
      </w:r>
      <w:r w:rsidRPr="003450B8">
        <w:rPr>
          <w:lang w:val="hr-HR"/>
        </w:rPr>
        <w:t xml:space="preserve"> </w:t>
      </w:r>
      <w:r w:rsidRPr="00B04E3E">
        <w:t>kratkoro</w:t>
      </w:r>
      <w:r w:rsidRPr="003450B8">
        <w:rPr>
          <w:lang w:val="hr-HR"/>
        </w:rPr>
        <w:t>č</w:t>
      </w:r>
      <w:r w:rsidRPr="00B04E3E">
        <w:t>na</w:t>
      </w:r>
      <w:r w:rsidRPr="003450B8">
        <w:rPr>
          <w:lang w:val="hr-HR"/>
        </w:rPr>
        <w:t xml:space="preserve"> </w:t>
      </w:r>
      <w:r w:rsidRPr="00B04E3E">
        <w:t>primanja</w:t>
      </w:r>
      <w:r w:rsidRPr="003450B8">
        <w:rPr>
          <w:lang w:val="hr-HR"/>
        </w:rPr>
        <w:t xml:space="preserve"> </w:t>
      </w:r>
      <w:r w:rsidRPr="00B04E3E">
        <w:t>zaposlenih</w:t>
      </w:r>
      <w:r w:rsidRPr="003450B8">
        <w:rPr>
          <w:lang w:val="hr-HR"/>
        </w:rPr>
        <w:t xml:space="preserve">. </w:t>
      </w:r>
      <w:r w:rsidRPr="00B04E3E">
        <w:t>Klju</w:t>
      </w:r>
      <w:r w:rsidRPr="003450B8">
        <w:rPr>
          <w:lang w:val="hr-HR"/>
        </w:rPr>
        <w:t>č</w:t>
      </w:r>
      <w:r w:rsidRPr="00B04E3E">
        <w:t>ni</w:t>
      </w:r>
      <w:r w:rsidRPr="003450B8">
        <w:rPr>
          <w:lang w:val="hr-HR"/>
        </w:rPr>
        <w:t xml:space="preserve"> č</w:t>
      </w:r>
      <w:r w:rsidRPr="00B04E3E">
        <w:t>lanovi</w:t>
      </w:r>
      <w:r w:rsidRPr="003450B8">
        <w:rPr>
          <w:lang w:val="hr-HR"/>
        </w:rPr>
        <w:t xml:space="preserve"> </w:t>
      </w:r>
      <w:r w:rsidRPr="00B04E3E">
        <w:t>menad</w:t>
      </w:r>
      <w:r w:rsidRPr="003450B8">
        <w:rPr>
          <w:lang w:val="hr-HR"/>
        </w:rPr>
        <w:t>ž</w:t>
      </w:r>
      <w:r w:rsidRPr="00B04E3E">
        <w:t>menta</w:t>
      </w:r>
      <w:r w:rsidRPr="003450B8">
        <w:rPr>
          <w:lang w:val="hr-HR"/>
        </w:rPr>
        <w:t xml:space="preserve"> </w:t>
      </w:r>
      <w:r w:rsidRPr="00B04E3E">
        <w:t>su</w:t>
      </w:r>
      <w:r w:rsidRPr="003450B8">
        <w:rPr>
          <w:lang w:val="hr-HR"/>
        </w:rPr>
        <w:t xml:space="preserve"> č</w:t>
      </w:r>
      <w:r w:rsidRPr="00B04E3E">
        <w:t>lanovi</w:t>
      </w:r>
      <w:r w:rsidRPr="003450B8">
        <w:rPr>
          <w:lang w:val="hr-HR"/>
        </w:rPr>
        <w:t xml:space="preserve"> </w:t>
      </w:r>
      <w:r w:rsidRPr="00B04E3E">
        <w:t>Uprave</w:t>
      </w:r>
      <w:r w:rsidRPr="003450B8">
        <w:rPr>
          <w:lang w:val="hr-HR"/>
        </w:rPr>
        <w:t xml:space="preserve"> </w:t>
      </w:r>
      <w:r w:rsidRPr="00B04E3E">
        <w:t>Dru</w:t>
      </w:r>
      <w:r w:rsidRPr="003450B8">
        <w:rPr>
          <w:lang w:val="hr-HR"/>
        </w:rPr>
        <w:t>š</w:t>
      </w:r>
      <w:r w:rsidRPr="00B04E3E">
        <w:t>tva</w:t>
      </w:r>
      <w:r w:rsidRPr="003450B8">
        <w:rPr>
          <w:lang w:val="hr-HR"/>
        </w:rPr>
        <w:t xml:space="preserve"> </w:t>
      </w:r>
      <w:r w:rsidRPr="00B04E3E">
        <w:t>i</w:t>
      </w:r>
      <w:r w:rsidRPr="003450B8">
        <w:rPr>
          <w:lang w:val="hr-HR"/>
        </w:rPr>
        <w:t xml:space="preserve"> </w:t>
      </w:r>
      <w:r w:rsidRPr="00B04E3E">
        <w:t>ovisnih</w:t>
      </w:r>
      <w:r w:rsidRPr="003450B8">
        <w:rPr>
          <w:lang w:val="hr-HR"/>
        </w:rPr>
        <w:t xml:space="preserve"> </w:t>
      </w:r>
      <w:r w:rsidRPr="00B04E3E">
        <w:t>dru</w:t>
      </w:r>
      <w:r w:rsidRPr="003450B8">
        <w:rPr>
          <w:lang w:val="hr-HR"/>
        </w:rPr>
        <w:t>š</w:t>
      </w:r>
      <w:r w:rsidRPr="00B04E3E">
        <w:t>tava</w:t>
      </w:r>
      <w:r w:rsidRPr="003450B8">
        <w:rPr>
          <w:lang w:val="hr-HR"/>
        </w:rPr>
        <w:t xml:space="preserve"> </w:t>
      </w:r>
      <w:r w:rsidRPr="00B04E3E">
        <w:t>i</w:t>
      </w:r>
      <w:r w:rsidRPr="003450B8">
        <w:rPr>
          <w:lang w:val="hr-HR"/>
        </w:rPr>
        <w:t xml:space="preserve"> </w:t>
      </w:r>
      <w:r w:rsidRPr="00B04E3E">
        <w:t>operativni</w:t>
      </w:r>
      <w:r w:rsidRPr="003450B8">
        <w:rPr>
          <w:lang w:val="hr-HR"/>
        </w:rPr>
        <w:t xml:space="preserve"> </w:t>
      </w:r>
      <w:r w:rsidRPr="00B04E3E">
        <w:t>direktori</w:t>
      </w:r>
      <w:r w:rsidRPr="003450B8">
        <w:rPr>
          <w:lang w:val="hr-HR"/>
        </w:rPr>
        <w:t xml:space="preserve"> </w:t>
      </w:r>
      <w:r w:rsidRPr="00B04E3E">
        <w:t>Dru</w:t>
      </w:r>
      <w:r w:rsidRPr="003450B8">
        <w:rPr>
          <w:lang w:val="hr-HR"/>
        </w:rPr>
        <w:t>š</w:t>
      </w:r>
      <w:r w:rsidRPr="00B04E3E">
        <w:t>tva</w:t>
      </w:r>
      <w:r w:rsidRPr="003450B8">
        <w:rPr>
          <w:lang w:val="hr-HR"/>
        </w:rPr>
        <w:t xml:space="preserve"> </w:t>
      </w:r>
      <w:r w:rsidRPr="00B04E3E">
        <w:t>koje</w:t>
      </w:r>
      <w:r w:rsidRPr="003450B8">
        <w:rPr>
          <w:lang w:val="hr-HR"/>
        </w:rPr>
        <w:t xml:space="preserve"> </w:t>
      </w:r>
      <w:r w:rsidRPr="00B04E3E">
        <w:t>zapo</w:t>
      </w:r>
      <w:r w:rsidRPr="003450B8">
        <w:rPr>
          <w:lang w:val="hr-HR"/>
        </w:rPr>
        <w:t>š</w:t>
      </w:r>
      <w:r w:rsidRPr="00B04E3E">
        <w:t>ljava</w:t>
      </w:r>
      <w:r w:rsidRPr="003450B8">
        <w:rPr>
          <w:lang w:val="hr-HR"/>
        </w:rPr>
        <w:t xml:space="preserve"> </w:t>
      </w:r>
      <w:r w:rsidRPr="00B04E3E">
        <w:t>Grupa</w:t>
      </w:r>
      <w:r w:rsidRPr="003450B8">
        <w:rPr>
          <w:lang w:val="hr-HR"/>
        </w:rPr>
        <w:t>.</w:t>
      </w:r>
    </w:p>
    <w:p w:rsidR="003E4626" w:rsidRPr="003A46AA" w:rsidRDefault="003E4626" w:rsidP="00BA5338">
      <w:pPr>
        <w:pStyle w:val="T10"/>
        <w:rPr>
          <w:rFonts w:cs="Arial"/>
          <w:snapToGrid w:val="0"/>
          <w:sz w:val="20"/>
          <w:lang w:val="hr-HR"/>
        </w:rPr>
      </w:pPr>
    </w:p>
    <w:p w:rsidR="003E4626" w:rsidRDefault="003E4626" w:rsidP="006E2F77">
      <w:pPr>
        <w:pStyle w:val="T2"/>
        <w:spacing w:after="0"/>
        <w:rPr>
          <w:b/>
          <w:sz w:val="28"/>
          <w:szCs w:val="28"/>
          <w:lang w:val="hr-HR"/>
        </w:rPr>
      </w:pPr>
    </w:p>
    <w:p w:rsidR="003E4626" w:rsidRDefault="003E4626" w:rsidP="006E2F77">
      <w:pPr>
        <w:pStyle w:val="T2"/>
        <w:spacing w:after="0"/>
        <w:rPr>
          <w:b/>
          <w:sz w:val="28"/>
          <w:szCs w:val="28"/>
          <w:lang w:val="hr-HR"/>
        </w:rPr>
      </w:pPr>
    </w:p>
    <w:p w:rsidR="003E4626" w:rsidRPr="00ED66C9" w:rsidRDefault="003E4626" w:rsidP="00BA5338">
      <w:pPr>
        <w:rPr>
          <w:rFonts w:ascii="Tele-GroteskEEHal" w:hAnsi="Tele-GroteskEEHal"/>
          <w:b/>
          <w:sz w:val="28"/>
          <w:szCs w:val="28"/>
          <w:lang w:val="hr-HR"/>
        </w:rPr>
      </w:pPr>
      <w:r w:rsidRPr="00ED66C9">
        <w:rPr>
          <w:rFonts w:ascii="Tele-GroteskEEHal" w:hAnsi="Tele-GroteskEEHal"/>
          <w:b/>
          <w:sz w:val="28"/>
          <w:szCs w:val="28"/>
          <w:lang w:val="hr-HR"/>
        </w:rPr>
        <w:t xml:space="preserve">Dodatak: </w:t>
      </w:r>
    </w:p>
    <w:p w:rsidR="003E4626" w:rsidRPr="00ED66C9" w:rsidRDefault="003E4626" w:rsidP="00BA5338">
      <w:pPr>
        <w:rPr>
          <w:rFonts w:ascii="Tele-GroteskEEHal" w:hAnsi="Tele-GroteskEEHal"/>
          <w:b/>
          <w:sz w:val="28"/>
          <w:szCs w:val="28"/>
          <w:lang w:val="hr-HR"/>
        </w:rPr>
      </w:pPr>
      <w:r w:rsidRPr="00ED66C9">
        <w:rPr>
          <w:rFonts w:ascii="Tele-GroteskEEHal" w:hAnsi="Tele-GroteskEEHal"/>
          <w:b/>
          <w:sz w:val="28"/>
          <w:szCs w:val="28"/>
          <w:lang w:val="hr-HR"/>
        </w:rPr>
        <w:t>Financijska izvješća HT-a d.d. (obrazac TFI POD)</w:t>
      </w:r>
    </w:p>
    <w:p w:rsidR="003E4626" w:rsidRPr="00ED66C9" w:rsidRDefault="003E4626" w:rsidP="00BA5338">
      <w:pPr>
        <w:rPr>
          <w:rFonts w:ascii="Tele-GroteskEEHal" w:hAnsi="Tele-GroteskEEHal"/>
          <w:sz w:val="22"/>
          <w:szCs w:val="22"/>
          <w:lang w:val="hr-HR"/>
        </w:rPr>
      </w:pPr>
      <w:r w:rsidRPr="00ED66C9">
        <w:rPr>
          <w:rFonts w:ascii="Tele-GroteskEEHal" w:hAnsi="Tele-GroteskEEHal"/>
          <w:sz w:val="22"/>
          <w:szCs w:val="22"/>
          <w:lang w:val="hr-HR"/>
        </w:rPr>
        <w:t xml:space="preserve">(Napomena: Obrazac TFI POD Grupe nalazi se na internetskoj stranici Društva </w:t>
      </w:r>
      <w:hyperlink r:id="rId9" w:history="1">
        <w:r w:rsidRPr="001B1F52">
          <w:rPr>
            <w:rStyle w:val="Hyperlink"/>
            <w:rFonts w:ascii="Tele-GroteskEEHal" w:hAnsi="Tele-GroteskEEHal" w:cs="Tahoma"/>
            <w:sz w:val="22"/>
            <w:szCs w:val="22"/>
            <w:lang w:val="hr-HR"/>
          </w:rPr>
          <w:t>www.t.ht.hr/investitori</w:t>
        </w:r>
      </w:hyperlink>
      <w:r>
        <w:rPr>
          <w:rFonts w:ascii="Tele-GroteskEEHal" w:hAnsi="Tele-GroteskEEHal" w:cs="Tahoma"/>
          <w:sz w:val="22"/>
          <w:szCs w:val="22"/>
          <w:lang w:val="hr-HR"/>
        </w:rPr>
        <w:t>/</w:t>
      </w:r>
      <w:r w:rsidRPr="00ED66C9">
        <w:rPr>
          <w:rFonts w:ascii="Tele-GroteskEEHal" w:hAnsi="Tele-GroteskEEHal"/>
          <w:sz w:val="22"/>
          <w:szCs w:val="22"/>
          <w:lang w:val="hr-HR"/>
        </w:rPr>
        <w:t xml:space="preserve">) </w:t>
      </w:r>
    </w:p>
    <w:p w:rsidR="003E4626" w:rsidRDefault="003E4626" w:rsidP="00BA5338">
      <w:pPr>
        <w:rPr>
          <w:rFonts w:ascii="Tele-GroteskEEHal" w:hAnsi="Tele-GroteskEEHal"/>
          <w:b/>
          <w:sz w:val="28"/>
          <w:szCs w:val="28"/>
          <w:lang w:val="hr-HR"/>
        </w:rPr>
      </w:pPr>
    </w:p>
    <w:p w:rsidR="003E4626" w:rsidRDefault="003E4626" w:rsidP="00BA5338">
      <w:pPr>
        <w:rPr>
          <w:rFonts w:ascii="Tele-GroteskEEHal" w:hAnsi="Tele-GroteskEEHal"/>
          <w:b/>
          <w:bCs/>
          <w:sz w:val="22"/>
          <w:szCs w:val="22"/>
          <w:lang w:val="hr-HR"/>
        </w:rPr>
      </w:pPr>
      <w:r w:rsidRPr="00ED66C9">
        <w:rPr>
          <w:rFonts w:ascii="Tele-GroteskEEHal" w:hAnsi="Tele-GroteskEEHal"/>
          <w:b/>
          <w:bCs/>
          <w:sz w:val="22"/>
          <w:szCs w:val="22"/>
          <w:lang w:val="hr-HR"/>
        </w:rPr>
        <w:t>Račun dobiti i gubitka</w:t>
      </w:r>
    </w:p>
    <w:p w:rsidR="003E4626" w:rsidRDefault="003E4626" w:rsidP="006E2F77">
      <w:pPr>
        <w:pStyle w:val="T2"/>
        <w:spacing w:after="0"/>
        <w:rPr>
          <w:b/>
          <w:sz w:val="28"/>
          <w:szCs w:val="28"/>
          <w:lang w:val="hr-HR"/>
        </w:rPr>
      </w:pPr>
    </w:p>
    <w:tbl>
      <w:tblPr>
        <w:tblW w:w="9160" w:type="dxa"/>
        <w:tblInd w:w="93" w:type="dxa"/>
        <w:tblLook w:val="0000"/>
      </w:tblPr>
      <w:tblGrid>
        <w:gridCol w:w="4200"/>
        <w:gridCol w:w="1240"/>
        <w:gridCol w:w="1240"/>
        <w:gridCol w:w="1240"/>
        <w:gridCol w:w="1240"/>
      </w:tblGrid>
      <w:tr w:rsidR="003E4626" w:rsidRPr="00EB2953" w:rsidTr="00EB2953">
        <w:trPr>
          <w:trHeight w:val="465"/>
        </w:trPr>
        <w:tc>
          <w:tcPr>
            <w:tcW w:w="4320" w:type="dxa"/>
            <w:tcBorders>
              <w:top w:val="single" w:sz="4" w:space="0" w:color="auto"/>
              <w:left w:val="single" w:sz="4" w:space="0" w:color="auto"/>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8"/>
                <w:szCs w:val="18"/>
                <w:lang w:val="hr-HR" w:eastAsia="hr-HR"/>
              </w:rPr>
            </w:pPr>
            <w:r w:rsidRPr="00EB2953">
              <w:rPr>
                <w:rFonts w:ascii="Arial" w:hAnsi="Arial" w:cs="Arial"/>
                <w:b/>
                <w:bCs/>
                <w:kern w:val="0"/>
                <w:sz w:val="18"/>
                <w:szCs w:val="18"/>
                <w:lang w:val="hr-HR" w:eastAsia="hr-HR"/>
              </w:rPr>
              <w:t>Naziv pozicije</w:t>
            </w:r>
          </w:p>
        </w:tc>
        <w:tc>
          <w:tcPr>
            <w:tcW w:w="2480" w:type="dxa"/>
            <w:gridSpan w:val="2"/>
            <w:tcBorders>
              <w:top w:val="single" w:sz="4" w:space="0" w:color="auto"/>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Prethodno razdoblje</w:t>
            </w:r>
          </w:p>
        </w:tc>
        <w:tc>
          <w:tcPr>
            <w:tcW w:w="2360" w:type="dxa"/>
            <w:gridSpan w:val="2"/>
            <w:tcBorders>
              <w:top w:val="single" w:sz="4" w:space="0" w:color="auto"/>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Tekuće razdoblje</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8"/>
                <w:szCs w:val="18"/>
                <w:lang w:val="hr-HR" w:eastAsia="hr-HR"/>
              </w:rPr>
            </w:pPr>
            <w:r w:rsidRPr="00EB2953">
              <w:rPr>
                <w:rFonts w:ascii="Arial" w:hAnsi="Arial" w:cs="Arial"/>
                <w:b/>
                <w:bCs/>
                <w:kern w:val="0"/>
                <w:sz w:val="18"/>
                <w:szCs w:val="18"/>
                <w:lang w:val="hr-HR" w:eastAsia="hr-HR"/>
              </w:rPr>
              <w:t> </w:t>
            </w:r>
          </w:p>
        </w:tc>
        <w:tc>
          <w:tcPr>
            <w:tcW w:w="1240" w:type="dxa"/>
            <w:tcBorders>
              <w:top w:val="nil"/>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Kumulativno</w:t>
            </w:r>
          </w:p>
        </w:tc>
        <w:tc>
          <w:tcPr>
            <w:tcW w:w="1240" w:type="dxa"/>
            <w:tcBorders>
              <w:top w:val="nil"/>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Tromjesečje</w:t>
            </w:r>
          </w:p>
        </w:tc>
        <w:tc>
          <w:tcPr>
            <w:tcW w:w="1180" w:type="dxa"/>
            <w:tcBorders>
              <w:top w:val="nil"/>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Kumulativno</w:t>
            </w:r>
          </w:p>
        </w:tc>
        <w:tc>
          <w:tcPr>
            <w:tcW w:w="1180" w:type="dxa"/>
            <w:tcBorders>
              <w:top w:val="nil"/>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Tromjesečje</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I. POSLOVNI PRIHODI </w:t>
            </w:r>
            <w:r w:rsidRPr="00EB2953">
              <w:rPr>
                <w:rFonts w:ascii="Arial" w:hAnsi="Arial" w:cs="Arial"/>
                <w:kern w:val="0"/>
                <w:sz w:val="18"/>
                <w:szCs w:val="18"/>
                <w:lang w:val="hr-HR" w:eastAsia="hr-HR"/>
              </w:rPr>
              <w:t>(112+113)</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6.212.409.906</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2.224.692.002</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5.861.346.809</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2.102.295.315</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1. Prihodi od prodaje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6.110.469.807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2.193.277.911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5.711.224.394</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2.054.900.954</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2. Ostali poslovni prihodi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101.940.099</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31.414.091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150.122.415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47.394.361</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II. POSLOVNI RASHODI </w:t>
            </w:r>
            <w:r w:rsidRPr="00EB2953">
              <w:rPr>
                <w:rFonts w:ascii="Arial" w:hAnsi="Arial" w:cs="Arial"/>
                <w:kern w:val="0"/>
                <w:sz w:val="18"/>
                <w:szCs w:val="18"/>
                <w:lang w:val="hr-HR" w:eastAsia="hr-HR"/>
              </w:rPr>
              <w:t>(115+116+120+124+125+126+129+130)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4.337.391.690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1.410.901.284</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4.063.830.124</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1.316.402.432</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1. Promjene vrijednosti zaliha proizvodnje u tijeku i gotovih proizvoda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2. Materijalni troškovi </w:t>
            </w:r>
            <w:r w:rsidRPr="00EB2953">
              <w:rPr>
                <w:rFonts w:ascii="Arial" w:hAnsi="Arial" w:cs="Arial"/>
                <w:kern w:val="0"/>
                <w:sz w:val="18"/>
                <w:szCs w:val="18"/>
                <w:lang w:val="hr-HR" w:eastAsia="hr-HR"/>
              </w:rPr>
              <w:t>(117 do 119)</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1.534.852.481</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489.043.943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1.382.544.479</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424.313.410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a) Troškovi sirovina i materijala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106.147.250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42.542.487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114.483.818</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35.979.110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b) Troškovi prodane robe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542.589.348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132.946.368</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450.000.654</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103.299.617</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c) Ostali vanjski troškovi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886.115.883</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313.555.088</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818.060.007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285.034.683</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3. Troškovi osoblja </w:t>
            </w:r>
            <w:r w:rsidRPr="00EB2953">
              <w:rPr>
                <w:rFonts w:ascii="Arial" w:hAnsi="Arial" w:cs="Arial"/>
                <w:kern w:val="0"/>
                <w:sz w:val="18"/>
                <w:szCs w:val="18"/>
                <w:lang w:val="hr-HR" w:eastAsia="hr-HR"/>
              </w:rPr>
              <w:t>(121 do 123)</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778.112.420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258.071.001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739.661.876</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250.199.411</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a) Neto plaće i nadnice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408.777.713</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137.422.639</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408.750.020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137.587.615</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b) Troškovi poreza i doprinosa iz plaća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255.333.300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82.684.985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222.135.408</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75.777.771</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c) Doprinosi na plaće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114.001.407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37.963.377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108.776.448</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36.834.025</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4. Amortizacija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963.124.782</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313.750.370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961.347.180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325.255.571</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5. Ostali troškovi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936.131.025</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312.732.558</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910.430.499</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308.075.573</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6. Vrijednosno usklađivanje </w:t>
            </w:r>
            <w:r w:rsidRPr="00EB2953">
              <w:rPr>
                <w:rFonts w:ascii="Arial" w:hAnsi="Arial" w:cs="Arial"/>
                <w:kern w:val="0"/>
                <w:sz w:val="18"/>
                <w:szCs w:val="18"/>
                <w:lang w:val="hr-HR" w:eastAsia="hr-HR"/>
              </w:rPr>
              <w:t>(127+128)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87.109.745</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21.198.207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45.970.033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3.719.864</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a) dugotrajne imovine (osim financijske imovine)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b) kratkotrajne imovine (osim financijske imovine)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87.109.745</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21.198.207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45.970.033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3.719.864</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7. Rezerviranja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38.061.237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16.105.205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23.876.057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4.838.603</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8. Ostali poslovni rashodi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III. FINANCIJSKI PRIHODI </w:t>
            </w:r>
            <w:r w:rsidRPr="00EB2953">
              <w:rPr>
                <w:rFonts w:ascii="Arial" w:hAnsi="Arial" w:cs="Arial"/>
                <w:kern w:val="0"/>
                <w:sz w:val="18"/>
                <w:szCs w:val="18"/>
                <w:lang w:val="hr-HR" w:eastAsia="hr-HR"/>
              </w:rPr>
              <w:t>(132 do 136)</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54.854.518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12.510.405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44.606.393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21.471.466</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1. Kamate, tečajne razlike, dividende i slični prihodi iz odnosa s</w:t>
            </w:r>
            <w:r w:rsidRPr="00EB2953">
              <w:rPr>
                <w:rFonts w:ascii="Arial" w:hAnsi="Arial" w:cs="Arial"/>
                <w:b/>
                <w:bCs/>
                <w:kern w:val="0"/>
                <w:sz w:val="18"/>
                <w:szCs w:val="18"/>
                <w:lang w:val="hr-HR" w:eastAsia="hr-HR"/>
              </w:rPr>
              <w:br/>
              <w:t xml:space="preserve">         povezanim poduzetnicima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8.197.906</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2.851.427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7.021.985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1.753.047</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2. Kamate, tečajne razlike, dividende, slični prihodi iz odnosa s</w:t>
            </w:r>
            <w:r w:rsidRPr="00EB2953">
              <w:rPr>
                <w:rFonts w:ascii="Arial" w:hAnsi="Arial" w:cs="Arial"/>
                <w:b/>
                <w:bCs/>
                <w:kern w:val="0"/>
                <w:sz w:val="18"/>
                <w:szCs w:val="18"/>
                <w:lang w:val="hr-HR" w:eastAsia="hr-HR"/>
              </w:rPr>
              <w:br/>
              <w:t xml:space="preserve">          nepovezanim poduzetnicima i drugim osobama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40.157.387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9.006.476</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36.861.533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19.712.842</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3. Dio prihoda od pridruženih poduzetnika i sudjelujućih interesa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5.780.556</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4. Nerealizirani dobici (prihodi) od financijske imovine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5. Ostali financijski prihodi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718.669</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652.502</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722.875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5.577</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IV. FINANCIJSKI RASHODI </w:t>
            </w:r>
            <w:r w:rsidRPr="00EB2953">
              <w:rPr>
                <w:rFonts w:ascii="Arial" w:hAnsi="Arial" w:cs="Arial"/>
                <w:kern w:val="0"/>
                <w:sz w:val="18"/>
                <w:szCs w:val="18"/>
                <w:lang w:val="hr-HR" w:eastAsia="hr-HR"/>
              </w:rPr>
              <w:t>(138 do 141)</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30.561.831</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986.763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11.659.783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-4.883.724</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1. Kamate, tečajne razlike i drugi rashodi s povezanim poduzetnicima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2. Kamate, tečajne razlike i drugi rashodi iz odnosa s nepovezanim</w:t>
            </w:r>
            <w:r w:rsidRPr="00EB2953">
              <w:rPr>
                <w:rFonts w:ascii="Arial" w:hAnsi="Arial" w:cs="Arial"/>
                <w:b/>
                <w:bCs/>
                <w:kern w:val="0"/>
                <w:sz w:val="18"/>
                <w:szCs w:val="18"/>
                <w:lang w:val="hr-HR" w:eastAsia="hr-HR"/>
              </w:rPr>
              <w:br/>
              <w:t xml:space="preserve">        poduzetnicima i drugim osobama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24.774.800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-491.131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5.555.661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-6.166.910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3. Nerealizirani gubici (rashodi) od financijske imovine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4. Ostali financijski rashodi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5.787.031</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1.477.894</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6.104.122</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1.283.186</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V.    UDIO U DOBITI OD PRIDRUŽENIH PODUZETNIKA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VI.   UDIO U GUBITKU OD PRIDRUŽENIH PODUZETNIKA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VII.  IZVANREDNI - OSTALI PRIHODI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VIII. IZVANREDNI - OSTALI RASHODI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IX.  UKUPNI PRIHODI </w:t>
            </w:r>
            <w:r w:rsidRPr="00EB2953">
              <w:rPr>
                <w:rFonts w:ascii="Arial" w:hAnsi="Arial" w:cs="Arial"/>
                <w:kern w:val="0"/>
                <w:sz w:val="18"/>
                <w:szCs w:val="18"/>
                <w:lang w:val="hr-HR" w:eastAsia="hr-HR"/>
              </w:rPr>
              <w:t>(111+131+142 + 144)</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6.267.264.424</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2.237.202.407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5.905.953.202</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2.123.766.781</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X.   UKUPNI RASHODI </w:t>
            </w:r>
            <w:r w:rsidRPr="00EB2953">
              <w:rPr>
                <w:rFonts w:ascii="Arial" w:hAnsi="Arial" w:cs="Arial"/>
                <w:kern w:val="0"/>
                <w:sz w:val="18"/>
                <w:szCs w:val="18"/>
                <w:lang w:val="hr-HR" w:eastAsia="hr-HR"/>
              </w:rPr>
              <w:t>(114+137+143 + 145)</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4.367.953.521</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1.411.888.047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4.075.489.907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1.311.518.708</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XI.  DOBIT ILI GUBITAK PRIJE OPOREZIVANJA </w:t>
            </w:r>
            <w:r w:rsidRPr="00EB2953">
              <w:rPr>
                <w:rFonts w:ascii="Arial" w:hAnsi="Arial" w:cs="Arial"/>
                <w:kern w:val="0"/>
                <w:sz w:val="18"/>
                <w:szCs w:val="18"/>
                <w:lang w:val="hr-HR" w:eastAsia="hr-HR"/>
              </w:rPr>
              <w:t>(146-147)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1.899.310.903</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825.314.360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1.830.463.295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812.248.073</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Dobit prije oporezivanja (146-147)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1.899.310.903</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825.314.360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1.830.463.295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812.248.073</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Gubitak prije oporezivanja (147-146)</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XII.  POREZ NA DOBIT</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369.964.699</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166.399.257</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354.796.013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164.116.399</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XIII. DOBIT ILI GUBITAK RAZDOBLJA </w:t>
            </w:r>
            <w:r w:rsidRPr="00EB2953">
              <w:rPr>
                <w:rFonts w:ascii="Arial" w:hAnsi="Arial" w:cs="Arial"/>
                <w:kern w:val="0"/>
                <w:sz w:val="18"/>
                <w:szCs w:val="18"/>
                <w:lang w:val="hr-HR" w:eastAsia="hr-HR"/>
              </w:rPr>
              <w:t>(148-151)</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1.529.346.204</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658.915.103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1.475.667.282</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648.131.674</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Dobit razdoblja (149-151)</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1.529.346.204</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658.915.103</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1.475.667.282</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648.131.674</w:t>
            </w:r>
          </w:p>
        </w:tc>
      </w:tr>
      <w:tr w:rsidR="003E4626" w:rsidRPr="00EB2953" w:rsidTr="00EB2953">
        <w:trPr>
          <w:trHeight w:val="255"/>
        </w:trPr>
        <w:tc>
          <w:tcPr>
            <w:tcW w:w="4320" w:type="dxa"/>
            <w:tcBorders>
              <w:top w:val="single" w:sz="4" w:space="0" w:color="auto"/>
              <w:left w:val="single" w:sz="4" w:space="0" w:color="auto"/>
              <w:bottom w:val="nil"/>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Gubitak razdoblja (151-148)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9160" w:type="dxa"/>
            <w:gridSpan w:val="5"/>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XIV. DOBIT ILI GUBITAK RAZDOBLJA</w:t>
            </w:r>
          </w:p>
        </w:tc>
        <w:tc>
          <w:tcPr>
            <w:tcW w:w="1240" w:type="dxa"/>
            <w:tcBorders>
              <w:top w:val="nil"/>
              <w:left w:val="nil"/>
              <w:bottom w:val="single" w:sz="4" w:space="0" w:color="auto"/>
              <w:right w:val="nil"/>
            </w:tcBorders>
            <w:noWrap/>
            <w:vAlign w:val="center"/>
          </w:tcPr>
          <w:p w:rsidR="003E4626" w:rsidRPr="00EB2953" w:rsidRDefault="003E4626" w:rsidP="00EB2953">
            <w:pPr>
              <w:suppressAutoHyphens w:val="0"/>
              <w:rPr>
                <w:rFonts w:ascii="Arial" w:hAnsi="Arial" w:cs="Arial"/>
                <w:kern w:val="0"/>
                <w:sz w:val="20"/>
                <w:szCs w:val="20"/>
                <w:lang w:val="hr-HR" w:eastAsia="hr-HR"/>
              </w:rPr>
            </w:pPr>
            <w:r w:rsidRPr="00EB2953">
              <w:rPr>
                <w:rFonts w:ascii="Arial" w:hAnsi="Arial" w:cs="Arial"/>
                <w:kern w:val="0"/>
                <w:sz w:val="20"/>
                <w:szCs w:val="20"/>
                <w:lang w:val="hr-HR" w:eastAsia="hr-HR"/>
              </w:rPr>
              <w:t> </w:t>
            </w:r>
          </w:p>
        </w:tc>
        <w:tc>
          <w:tcPr>
            <w:tcW w:w="1240" w:type="dxa"/>
            <w:tcBorders>
              <w:top w:val="nil"/>
              <w:left w:val="nil"/>
              <w:bottom w:val="single" w:sz="4" w:space="0" w:color="auto"/>
              <w:right w:val="nil"/>
            </w:tcBorders>
            <w:noWrap/>
            <w:vAlign w:val="center"/>
          </w:tcPr>
          <w:p w:rsidR="003E4626" w:rsidRPr="00EB2953" w:rsidRDefault="003E4626" w:rsidP="00EB2953">
            <w:pPr>
              <w:suppressAutoHyphens w:val="0"/>
              <w:rPr>
                <w:rFonts w:ascii="Arial" w:hAnsi="Arial" w:cs="Arial"/>
                <w:kern w:val="0"/>
                <w:sz w:val="20"/>
                <w:szCs w:val="20"/>
                <w:lang w:val="hr-HR" w:eastAsia="hr-HR"/>
              </w:rPr>
            </w:pPr>
            <w:r w:rsidRPr="00EB2953">
              <w:rPr>
                <w:rFonts w:ascii="Arial" w:hAnsi="Arial" w:cs="Arial"/>
                <w:kern w:val="0"/>
                <w:sz w:val="20"/>
                <w:szCs w:val="20"/>
                <w:lang w:val="hr-HR" w:eastAsia="hr-HR"/>
              </w:rPr>
              <w:t> </w:t>
            </w:r>
          </w:p>
        </w:tc>
        <w:tc>
          <w:tcPr>
            <w:tcW w:w="1180" w:type="dxa"/>
            <w:tcBorders>
              <w:top w:val="nil"/>
              <w:left w:val="nil"/>
              <w:bottom w:val="single" w:sz="4" w:space="0" w:color="auto"/>
              <w:right w:val="nil"/>
            </w:tcBorders>
            <w:noWrap/>
            <w:vAlign w:val="center"/>
          </w:tcPr>
          <w:p w:rsidR="003E4626" w:rsidRPr="00EB2953" w:rsidRDefault="003E4626" w:rsidP="00EB2953">
            <w:pPr>
              <w:suppressAutoHyphens w:val="0"/>
              <w:rPr>
                <w:rFonts w:ascii="Arial" w:hAnsi="Arial" w:cs="Arial"/>
                <w:kern w:val="0"/>
                <w:sz w:val="20"/>
                <w:szCs w:val="20"/>
                <w:lang w:val="hr-HR" w:eastAsia="hr-HR"/>
              </w:rPr>
            </w:pPr>
            <w:r w:rsidRPr="00EB2953">
              <w:rPr>
                <w:rFonts w:ascii="Arial" w:hAnsi="Arial" w:cs="Arial"/>
                <w:kern w:val="0"/>
                <w:sz w:val="20"/>
                <w:szCs w:val="20"/>
                <w:lang w:val="hr-HR" w:eastAsia="hr-HR"/>
              </w:rPr>
              <w:t> </w:t>
            </w:r>
          </w:p>
        </w:tc>
        <w:tc>
          <w:tcPr>
            <w:tcW w:w="1180" w:type="dxa"/>
            <w:tcBorders>
              <w:top w:val="nil"/>
              <w:left w:val="nil"/>
              <w:bottom w:val="single" w:sz="4" w:space="0" w:color="auto"/>
              <w:right w:val="nil"/>
            </w:tcBorders>
            <w:noWrap/>
            <w:vAlign w:val="bottom"/>
          </w:tcPr>
          <w:p w:rsidR="003E4626" w:rsidRPr="00EB2953" w:rsidRDefault="003E4626" w:rsidP="00EB2953">
            <w:pPr>
              <w:suppressAutoHyphens w:val="0"/>
              <w:rPr>
                <w:rFonts w:ascii="Arial" w:hAnsi="Arial" w:cs="Arial"/>
                <w:kern w:val="0"/>
                <w:sz w:val="20"/>
                <w:szCs w:val="20"/>
                <w:lang w:val="hr-HR" w:eastAsia="hr-HR"/>
              </w:rPr>
            </w:pPr>
            <w:r w:rsidRPr="00EB2953">
              <w:rPr>
                <w:rFonts w:ascii="Arial" w:hAnsi="Arial" w:cs="Arial"/>
                <w:kern w:val="0"/>
                <w:sz w:val="20"/>
                <w:szCs w:val="20"/>
                <w:lang w:val="hr-HR" w:eastAsia="hr-HR"/>
              </w:rPr>
              <w:t> </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b/>
                <w:bCs/>
                <w:kern w:val="0"/>
                <w:sz w:val="18"/>
                <w:szCs w:val="18"/>
                <w:lang w:val="hr-HR" w:eastAsia="hr-HR"/>
              </w:rPr>
            </w:pPr>
            <w:r w:rsidRPr="00EB2953">
              <w:rPr>
                <w:rFonts w:ascii="Arial" w:hAnsi="Arial" w:cs="Arial"/>
                <w:b/>
                <w:bCs/>
                <w:kern w:val="0"/>
                <w:sz w:val="18"/>
                <w:szCs w:val="18"/>
                <w:lang w:val="hr-HR" w:eastAsia="hr-HR"/>
              </w:rPr>
              <w:t>1. Pripisana imateljima kapitala matice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b/>
                <w:bCs/>
                <w:kern w:val="0"/>
                <w:sz w:val="18"/>
                <w:szCs w:val="18"/>
                <w:lang w:val="hr-HR" w:eastAsia="hr-HR"/>
              </w:rPr>
            </w:pPr>
            <w:r w:rsidRPr="00EB2953">
              <w:rPr>
                <w:rFonts w:ascii="Arial" w:hAnsi="Arial" w:cs="Arial"/>
                <w:b/>
                <w:bCs/>
                <w:kern w:val="0"/>
                <w:sz w:val="18"/>
                <w:szCs w:val="18"/>
                <w:lang w:val="hr-HR" w:eastAsia="hr-HR"/>
              </w:rPr>
              <w:t>2. Pripisana manjinskom interesu</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9160" w:type="dxa"/>
            <w:gridSpan w:val="5"/>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IZVJEŠTAJ O OSTALOJ SVEOBUHVATNOJ DOBITI (popunjava poduzetnik obveznik primjene MSFI-a)</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 DOBIT ILI GUBITAK RAZDOBLJA (= 152)</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II. OSTALA SVEOBUHVATNA DOBIT/GUBITAK PRIJE POREZA </w:t>
            </w:r>
            <w:r w:rsidRPr="00EB2953">
              <w:rPr>
                <w:rFonts w:ascii="Arial" w:hAnsi="Arial" w:cs="Arial"/>
                <w:kern w:val="0"/>
                <w:sz w:val="18"/>
                <w:szCs w:val="18"/>
                <w:lang w:val="hr-HR" w:eastAsia="hr-HR"/>
              </w:rPr>
              <w:t>(159 do 165)</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1.856.778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-811.425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-672.931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-1.145.402</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1. Tečajne razlike iz preračuna inozemnog poslovanja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2. Promjene revalorizacijskih rezervi dugotrajne materijalne i</w:t>
            </w:r>
            <w:r w:rsidRPr="00EB2953">
              <w:rPr>
                <w:rFonts w:ascii="Arial" w:hAnsi="Arial" w:cs="Arial"/>
                <w:b/>
                <w:bCs/>
                <w:kern w:val="0"/>
                <w:sz w:val="18"/>
                <w:szCs w:val="18"/>
                <w:lang w:val="hr-HR" w:eastAsia="hr-HR"/>
              </w:rPr>
              <w:br/>
              <w:t xml:space="preserve">         nematerijalne imovine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3. Dobit ili gubitak s osnove ponovnog vrednovanja financijske</w:t>
            </w:r>
            <w:r w:rsidRPr="00EB2953">
              <w:rPr>
                <w:rFonts w:ascii="Arial" w:hAnsi="Arial" w:cs="Arial"/>
                <w:b/>
                <w:bCs/>
                <w:kern w:val="0"/>
                <w:sz w:val="18"/>
                <w:szCs w:val="18"/>
                <w:lang w:val="hr-HR" w:eastAsia="hr-HR"/>
              </w:rPr>
              <w:br/>
              <w:t xml:space="preserve">         imovine raspoložive za prodaju</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1.856.778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-811.425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-672.931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-1.145.402</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4. Dobit ili gubitak s osnove učinkovite zaštite novčanog toka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5. Dobit ili gubitak s osnove učinkovite zaštite neto ulaganja u inozemstvu</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6. Udio u ostaloj sveobuhvatnoj dobiti/gubitku pridruženih poduzetnika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    7. Aktuarski dobici/gubici po planovima definiranih primanja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III. POREZ NA OSTALU SVEOBUHVATNU DOBIT RAZDOBLJA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IV. NETO OSTALA SVEOBUHVATNA DOBIT ILI GUBITAK</w:t>
            </w:r>
            <w:r w:rsidRPr="00EB2953">
              <w:rPr>
                <w:rFonts w:ascii="Arial" w:hAnsi="Arial" w:cs="Arial"/>
                <w:b/>
                <w:bCs/>
                <w:kern w:val="0"/>
                <w:sz w:val="18"/>
                <w:szCs w:val="18"/>
                <w:lang w:val="hr-HR" w:eastAsia="hr-HR"/>
              </w:rPr>
              <w:br/>
              <w:t xml:space="preserve">      RAZDOBLJA</w:t>
            </w:r>
            <w:r w:rsidRPr="00EB2953">
              <w:rPr>
                <w:rFonts w:ascii="Arial" w:hAnsi="Arial" w:cs="Arial"/>
                <w:kern w:val="0"/>
                <w:sz w:val="18"/>
                <w:szCs w:val="18"/>
                <w:lang w:val="hr-HR" w:eastAsia="hr-HR"/>
              </w:rPr>
              <w:t xml:space="preserve"> (158-166)</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1.856.778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-811.425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-672.931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-1.145.402</w:t>
            </w:r>
          </w:p>
        </w:tc>
      </w:tr>
      <w:tr w:rsidR="003E4626" w:rsidRPr="00EB2953" w:rsidTr="00EB2953">
        <w:trPr>
          <w:trHeight w:val="255"/>
        </w:trPr>
        <w:tc>
          <w:tcPr>
            <w:tcW w:w="432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V. SVEOBUHVATNA DOBIT ILI GUBITAK RAZDOBLJA (157+167)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1.856.778</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-811.425</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-672.931</w:t>
            </w:r>
          </w:p>
        </w:tc>
        <w:tc>
          <w:tcPr>
            <w:tcW w:w="11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-1.145.402</w:t>
            </w:r>
          </w:p>
        </w:tc>
      </w:tr>
    </w:tbl>
    <w:p w:rsidR="003E4626" w:rsidRDefault="003E4626" w:rsidP="006E2F77">
      <w:pPr>
        <w:pStyle w:val="T2"/>
        <w:spacing w:after="0"/>
        <w:rPr>
          <w:b/>
          <w:sz w:val="28"/>
          <w:szCs w:val="28"/>
          <w:lang w:val="hr-HR"/>
        </w:rPr>
      </w:pPr>
    </w:p>
    <w:p w:rsidR="003E4626" w:rsidRDefault="003E4626" w:rsidP="006E2F77">
      <w:pPr>
        <w:pStyle w:val="T2"/>
        <w:spacing w:after="0"/>
        <w:rPr>
          <w:b/>
          <w:sz w:val="28"/>
          <w:szCs w:val="28"/>
          <w:lang w:val="hr-HR"/>
        </w:rPr>
      </w:pPr>
    </w:p>
    <w:p w:rsidR="003E4626" w:rsidRDefault="003E4626" w:rsidP="00BA5338">
      <w:pPr>
        <w:rPr>
          <w:rFonts w:ascii="Tele-GroteskEEHal" w:hAnsi="Tele-GroteskEEHal"/>
          <w:b/>
          <w:bCs/>
          <w:sz w:val="22"/>
          <w:szCs w:val="22"/>
          <w:lang w:val="hr-HR"/>
        </w:rPr>
      </w:pPr>
      <w:r w:rsidRPr="00ED66C9">
        <w:rPr>
          <w:rFonts w:ascii="Tele-GroteskEEHal" w:hAnsi="Tele-GroteskEEHal"/>
          <w:b/>
          <w:bCs/>
          <w:sz w:val="22"/>
          <w:szCs w:val="22"/>
          <w:lang w:val="hr-HR"/>
        </w:rPr>
        <w:t>Bilanca</w:t>
      </w:r>
    </w:p>
    <w:p w:rsidR="003E4626" w:rsidRDefault="003E4626" w:rsidP="006E2F77">
      <w:pPr>
        <w:pStyle w:val="T2"/>
        <w:spacing w:after="0"/>
        <w:rPr>
          <w:b/>
          <w:sz w:val="28"/>
          <w:szCs w:val="28"/>
          <w:lang w:val="hr-HR"/>
        </w:rPr>
      </w:pPr>
    </w:p>
    <w:tbl>
      <w:tblPr>
        <w:tblW w:w="9060" w:type="dxa"/>
        <w:tblInd w:w="93" w:type="dxa"/>
        <w:tblLook w:val="0000"/>
      </w:tblPr>
      <w:tblGrid>
        <w:gridCol w:w="6300"/>
        <w:gridCol w:w="1420"/>
        <w:gridCol w:w="1340"/>
      </w:tblGrid>
      <w:tr w:rsidR="003E4626" w:rsidRPr="00EB2953" w:rsidTr="00EB2953">
        <w:trPr>
          <w:trHeight w:val="450"/>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jc w:val="center"/>
              <w:rPr>
                <w:rFonts w:ascii="Arial" w:hAnsi="Arial" w:cs="Arial"/>
                <w:b/>
                <w:bCs/>
                <w:kern w:val="0"/>
                <w:sz w:val="18"/>
                <w:szCs w:val="18"/>
                <w:lang w:val="hr-HR" w:eastAsia="hr-HR"/>
              </w:rPr>
            </w:pPr>
            <w:r w:rsidRPr="00EB2953">
              <w:rPr>
                <w:rFonts w:ascii="Arial" w:hAnsi="Arial" w:cs="Arial"/>
                <w:b/>
                <w:bCs/>
                <w:kern w:val="0"/>
                <w:sz w:val="18"/>
                <w:szCs w:val="18"/>
                <w:lang w:val="hr-HR" w:eastAsia="hr-HR"/>
              </w:rPr>
              <w:t>Naziv pozicije</w:t>
            </w:r>
          </w:p>
        </w:tc>
        <w:tc>
          <w:tcPr>
            <w:tcW w:w="1420" w:type="dxa"/>
            <w:tcBorders>
              <w:top w:val="single" w:sz="4" w:space="0" w:color="auto"/>
              <w:left w:val="nil"/>
              <w:bottom w:val="single" w:sz="4" w:space="0" w:color="auto"/>
              <w:right w:val="nil"/>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Prethodno razdoblje</w:t>
            </w:r>
          </w:p>
        </w:tc>
        <w:tc>
          <w:tcPr>
            <w:tcW w:w="1340" w:type="dxa"/>
            <w:tcBorders>
              <w:top w:val="single" w:sz="4" w:space="0" w:color="auto"/>
              <w:left w:val="single" w:sz="4" w:space="0" w:color="auto"/>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Tekuće razdoblje</w:t>
            </w:r>
          </w:p>
        </w:tc>
      </w:tr>
      <w:tr w:rsidR="003E4626" w:rsidRPr="00EB2953" w:rsidTr="00EB2953">
        <w:trPr>
          <w:trHeight w:val="255"/>
        </w:trPr>
        <w:tc>
          <w:tcPr>
            <w:tcW w:w="9060" w:type="dxa"/>
            <w:gridSpan w:val="3"/>
            <w:tcBorders>
              <w:top w:val="nil"/>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A)  POTRAŽIVANJA ZA UPISANI A NEUPLAĆENI KAPITAL</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B)  DUGOTRAJNA IMOVINA </w:t>
            </w:r>
            <w:r w:rsidRPr="00EB2953">
              <w:rPr>
                <w:rFonts w:ascii="Arial" w:hAnsi="Arial" w:cs="Arial"/>
                <w:kern w:val="0"/>
                <w:sz w:val="18"/>
                <w:szCs w:val="18"/>
                <w:lang w:val="hr-HR" w:eastAsia="hr-HR"/>
              </w:rPr>
              <w:t>(003+010+020+029+033)</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8.195.308.051</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7.855.546.743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 NEMATERIJALNA IMOVINA (004 do 009)</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923.900.981</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803.342.814</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Izdaci za razvoj</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Koncesije, patenti, licencije, robne i uslužne marke, softver i ostala prava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855.692.772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760.694.512</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Goodwill</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Predujmovi za nabavu nematerijalne imovine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Nematerijalna imovina u pripremi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68.208.209</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42.648.302</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Ostala nematerijalna imovina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II. MATERIJALNA IMOVINA (011 do 019)</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6.236.109.440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5.986.576.964</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Zemljište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37.668.031</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37.625.556</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Građevinski objekti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3.717.506.842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3.646.095.462</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Postrojenja i oprema </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1.903.615.166</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1.836.669.713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Alati, pogonski inventar i transportna imovina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187.018.678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167.784.929</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Biološka imovina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Predujmovi za materijalnu imovinu</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4.171.262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2.270.250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7. Materijalna imovina u pripremi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379.933.479</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291.016.838</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8. Ostala materijalna imovina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6.195.982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5.114.216</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9. Ulaganje u nekretnine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III. DUGOTRAJNA FINANCIJSKA IMOVINA (021 do 028)</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946.901.017</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991.912.653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Udjeli (dionice) kod povezanih poduzetnika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628.335.287</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858.360.887</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Dani zajmovi povezanim poduzetnicima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276.989.280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91.992.816</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Sudjelujući interesi (udjeli)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1.161.000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1.161.000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Zajmovi dani poduzetnicima u kojima postoje sudjelujući interesi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Ulaganja u vrijednosne papire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34.079.175</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34.061.675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Dani zajmovi, depoziti i slično</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6.336.275</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6.336.275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7. Ostala dugotrajna financijska imovina </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8.  Ulaganja koja se obračunavaju metodom udjela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IV. POTRAŽIVANJA (030 do 032)</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31.464.799</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23.350.725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Potraživanja od povezanih poduzetnika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Potraživanja po osnovi prodaje na kredit</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19.868.966</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18.624.492</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Ostala potraživanja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11.595.833</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4.726.233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V. ODGOĐENA POREZNA IMOVINA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56.931.814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50.363.587</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C)  KRATKOTRAJNA IMOVINA </w:t>
            </w:r>
            <w:r w:rsidRPr="00EB2953">
              <w:rPr>
                <w:rFonts w:ascii="Arial" w:hAnsi="Arial" w:cs="Arial"/>
                <w:kern w:val="0"/>
                <w:sz w:val="18"/>
                <w:szCs w:val="18"/>
                <w:lang w:val="hr-HR" w:eastAsia="hr-HR"/>
              </w:rPr>
              <w:t>(035+043+050+058)</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5.244.657.111</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4.519.298.641</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 ZALIHE (036 do 042)</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203.034.434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164.843.424</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Sirovine i materijal</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101.783.434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99.110.995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Proizvodnja u tijeku</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Gotovi proizvodi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Trgovačka roba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101.132.488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65.626.206</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Predujmovi za zalihe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118.512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106.223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Dugotrajna imovina namijenjena prodaji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7. Biološka imovina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II. POTRAŽIVANJA (044 do 049)</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1.351.184.560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1.234.444.141</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Potraživanja od povezanih poduzetnika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21.681.008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25.640.717</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Potraživanja od kupaca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1.212.572.764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1.143.464.699</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Potraživanja od sudjelujućih poduzetnika </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Potraživanja od zaposlenika i članova poduzetnika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93.298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55.401</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Potraživanja od države i drugih institucija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28.861.872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1.792.785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Ostala potraživanja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87.975.618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63.490.539</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III. KRATKOTRAJNA FINANCIJSKA IMOVINA (051 do 057)</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445.145.744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695.000.103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Udjeli (dionice) kod povezanih poduzetnika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Dani zajmovi povezanim poduzetnicima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Sudjelujući interesi (udjeli) </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Zajmovi dani poduzetnicima u kojima postoje sudjelujući interesi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Ulaganja u vrijednosne papire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445.145.744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695.000.103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Dani zajmovi, depoziti i slično</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7. Ostala financijska imovina </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IV. NOVAC U BANCI I BLAGAJNI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3.245.292.373</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2.425.010.973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D)  PLAĆENI TROŠKOVI BUDUĆEG RAZDOBLJA I OBRAČUNATI PRIHODI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97.006.334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149.652.184</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E)  UKUPNO AKTIVA </w:t>
            </w:r>
            <w:r w:rsidRPr="00EB2953">
              <w:rPr>
                <w:rFonts w:ascii="Arial" w:hAnsi="Arial" w:cs="Arial"/>
                <w:kern w:val="0"/>
                <w:sz w:val="18"/>
                <w:szCs w:val="18"/>
                <w:lang w:val="hr-HR" w:eastAsia="hr-HR"/>
              </w:rPr>
              <w:t>(001+002+034+059)</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13.536.971.496</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12.524.497.568</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F)  IZVANBILANČNI ZAPISI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9060" w:type="dxa"/>
            <w:gridSpan w:val="3"/>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PASIVA</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A)  KAPITAL I REZERVE </w:t>
            </w:r>
            <w:r w:rsidRPr="00EB2953">
              <w:rPr>
                <w:rFonts w:ascii="Arial" w:hAnsi="Arial" w:cs="Arial"/>
                <w:kern w:val="0"/>
                <w:sz w:val="18"/>
                <w:szCs w:val="18"/>
                <w:lang w:val="hr-HR" w:eastAsia="hr-HR"/>
              </w:rPr>
              <w:t>(063+064+065+071+072+075+078)</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11.200.479.437</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10.811.690.730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 TEMELJNI (UPISANI) KAPITAL</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8.188.853.500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8.188.853.500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II. KAPITALNE REZERVE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III. REZERVE IZ DOBITI (066+067-068+069+070)</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409.442.675</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409.442.675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 Zakonske rezerve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409.442.675</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409.442.675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2. Rezerve za vlastite dionice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3. Vlastite dionice i udjeli (odbitna stavka)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4. Statutarne rezerve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5. Ostale rezerve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IV. REVALORIZACIJSKE REZERVE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-2.029.572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-2.702.503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V. ZADRŽANA DOBIT ILI PRENESENI GUBITAK (073-074)</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740.180.617</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740.429.777</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1. Zadržana dobit</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740.180.617</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740.429.777</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2. Preneseni gubitak</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VI. DOBIT ILI GUBITAK POSLOVNE GODINE (076-077)</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1.864.032.217</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1.475.667.281</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1. Dobit poslovne godine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1.864.032.217</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1.475.667.281</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3E4626">
            <w:pPr>
              <w:suppressAutoHyphens w:val="0"/>
              <w:ind w:firstLineChars="100" w:firstLine="31680"/>
              <w:rPr>
                <w:rFonts w:ascii="Arial" w:hAnsi="Arial" w:cs="Arial"/>
                <w:kern w:val="0"/>
                <w:sz w:val="18"/>
                <w:szCs w:val="18"/>
                <w:lang w:val="hr-HR" w:eastAsia="hr-HR"/>
              </w:rPr>
            </w:pPr>
            <w:r w:rsidRPr="00EB2953">
              <w:rPr>
                <w:rFonts w:ascii="Arial" w:hAnsi="Arial" w:cs="Arial"/>
                <w:kern w:val="0"/>
                <w:sz w:val="18"/>
                <w:szCs w:val="18"/>
                <w:lang w:val="hr-HR" w:eastAsia="hr-HR"/>
              </w:rPr>
              <w:t>2. Gubitak poslovne godine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VII. MANJINSKI INTERES</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B)  REZERVIRANJA </w:t>
            </w:r>
            <w:r w:rsidRPr="00EB2953">
              <w:rPr>
                <w:rFonts w:ascii="Arial" w:hAnsi="Arial" w:cs="Arial"/>
                <w:kern w:val="0"/>
                <w:sz w:val="18"/>
                <w:szCs w:val="18"/>
                <w:lang w:val="hr-HR" w:eastAsia="hr-HR"/>
              </w:rPr>
              <w:t>(080 do 082)</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426.453.758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309.007.461</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Rezerviranja za mirovine, otpremnine i slične obveze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325.366.358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209.450.143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Rezerviranja za porezne obveze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Druga rezerviranja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101.087.400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99.557.318</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C)  DUGOROČNE OBVEZE </w:t>
            </w:r>
            <w:r w:rsidRPr="00EB2953">
              <w:rPr>
                <w:rFonts w:ascii="Arial" w:hAnsi="Arial" w:cs="Arial"/>
                <w:kern w:val="0"/>
                <w:sz w:val="18"/>
                <w:szCs w:val="18"/>
                <w:lang w:val="hr-HR" w:eastAsia="hr-HR"/>
              </w:rPr>
              <w:t>(084 do 092)</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29.833.741</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26.645.993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Obveze prema povezanim poduzetnicima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Obveze za zajmove, depozite i slično</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Obveze prema bankama i drugim financijskim institucijama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Obveze za predujmove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Obveze prema dobavljačima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Obveze po vrijednosnim papirima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7. Obveze prema poduzetnicima u kojima postoje sudjelujući interesi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8. Ostale dugoročne obveze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29.833.741</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26.645.993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9. Odgođena porezna obveza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D)  KRATKOROČNE OBVEZE </w:t>
            </w:r>
            <w:r w:rsidRPr="00EB2953">
              <w:rPr>
                <w:rFonts w:ascii="Arial" w:hAnsi="Arial" w:cs="Arial"/>
                <w:kern w:val="0"/>
                <w:sz w:val="18"/>
                <w:szCs w:val="18"/>
                <w:lang w:val="hr-HR" w:eastAsia="hr-HR"/>
              </w:rPr>
              <w:t>(094 do 105)</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1.560.996.564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1.174.590.486</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Obveze prema povezanim poduzetnicima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19.719.378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1.093.675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Obveze za zajmove, depozite i slično</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181.503</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221.048</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Obveze prema bankama i drugim financijskim institucijama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Obveze za predujmove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1.343.302</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1.936.366</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Obveze prema dobavljačima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1.200.573.696</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800.365.514</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Obveze po vrijednosnim papirima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7. Obveze prema poduzetnicima u kojima postoje sudjelujući interesi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8. Obveze prema zaposlenicima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201.496.193</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173.968.605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9. Obveze za poreze, doprinose i slična davanja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36.296.148</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112.557.323</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10. Obveze s osnove udjela u rezultatu</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11. Obveze po osnovi dugotrajne imovine namijenjene prodaji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12. Ostale kratkoročne obveze</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101.386.344</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84.447.955</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E) ODGOĐENO PLAĆANJE TROŠKOVA I PRIHOD BUDUĆEGA RAZDOBLJA</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319.207.996</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202.562.899</w:t>
            </w:r>
          </w:p>
        </w:tc>
      </w:tr>
      <w:tr w:rsidR="003E4626" w:rsidRPr="00EB2953" w:rsidTr="00EB2953">
        <w:trPr>
          <w:trHeight w:val="255"/>
        </w:trPr>
        <w:tc>
          <w:tcPr>
            <w:tcW w:w="6300" w:type="dxa"/>
            <w:tcBorders>
              <w:top w:val="single" w:sz="4" w:space="0" w:color="auto"/>
              <w:left w:val="single" w:sz="4" w:space="0" w:color="auto"/>
              <w:bottom w:val="single" w:sz="4" w:space="0" w:color="auto"/>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xml:space="preserve">F) UKUPNO – PASIVA </w:t>
            </w:r>
            <w:r w:rsidRPr="00EB2953">
              <w:rPr>
                <w:rFonts w:ascii="Arial" w:hAnsi="Arial" w:cs="Arial"/>
                <w:kern w:val="0"/>
                <w:sz w:val="18"/>
                <w:szCs w:val="18"/>
                <w:lang w:val="hr-HR" w:eastAsia="hr-HR"/>
              </w:rPr>
              <w:t>(062+079+083+093+106)</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13.536.971.496</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12.524.497.569</w:t>
            </w:r>
          </w:p>
        </w:tc>
      </w:tr>
      <w:tr w:rsidR="003E4626" w:rsidRPr="00EB2953" w:rsidTr="00EB2953">
        <w:trPr>
          <w:trHeight w:val="255"/>
        </w:trPr>
        <w:tc>
          <w:tcPr>
            <w:tcW w:w="6300" w:type="dxa"/>
            <w:tcBorders>
              <w:top w:val="single" w:sz="4" w:space="0" w:color="auto"/>
              <w:left w:val="single" w:sz="4" w:space="0" w:color="auto"/>
              <w:bottom w:val="nil"/>
              <w:right w:val="single" w:sz="4" w:space="0" w:color="000000"/>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G)  IZVANBILANČNI ZAPISI</w:t>
            </w:r>
          </w:p>
        </w:tc>
        <w:tc>
          <w:tcPr>
            <w:tcW w:w="142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3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bl>
    <w:p w:rsidR="003E4626" w:rsidRDefault="003E4626" w:rsidP="006E2F77">
      <w:pPr>
        <w:pStyle w:val="T2"/>
        <w:spacing w:after="0"/>
        <w:rPr>
          <w:b/>
          <w:sz w:val="28"/>
          <w:szCs w:val="28"/>
          <w:lang w:val="hr-HR"/>
        </w:rPr>
      </w:pPr>
    </w:p>
    <w:p w:rsidR="003E4626" w:rsidRDefault="003E4626" w:rsidP="006E2F77">
      <w:pPr>
        <w:pStyle w:val="T2"/>
        <w:spacing w:after="0"/>
        <w:rPr>
          <w:b/>
          <w:sz w:val="28"/>
          <w:szCs w:val="28"/>
          <w:lang w:val="hr-HR"/>
        </w:rPr>
      </w:pPr>
    </w:p>
    <w:p w:rsidR="003E4626" w:rsidRDefault="003E4626" w:rsidP="00BA5338">
      <w:pPr>
        <w:rPr>
          <w:rFonts w:ascii="Tele-GroteskEEHal" w:hAnsi="Tele-GroteskEEHal"/>
          <w:b/>
          <w:bCs/>
          <w:sz w:val="22"/>
          <w:szCs w:val="22"/>
          <w:lang w:val="hr-HR"/>
        </w:rPr>
      </w:pPr>
      <w:r w:rsidRPr="00ED66C9">
        <w:rPr>
          <w:rFonts w:ascii="Tele-GroteskEEHal" w:hAnsi="Tele-GroteskEEHal"/>
          <w:b/>
          <w:bCs/>
          <w:sz w:val="22"/>
          <w:szCs w:val="22"/>
          <w:lang w:val="hr-HR"/>
        </w:rPr>
        <w:t>Izvješće o tijeku novca</w:t>
      </w:r>
    </w:p>
    <w:p w:rsidR="003E4626" w:rsidRDefault="003E4626" w:rsidP="006E2F77">
      <w:pPr>
        <w:pStyle w:val="T2"/>
        <w:spacing w:after="0"/>
        <w:rPr>
          <w:b/>
          <w:sz w:val="28"/>
          <w:szCs w:val="28"/>
          <w:lang w:val="hr-HR"/>
        </w:rPr>
      </w:pPr>
    </w:p>
    <w:tbl>
      <w:tblPr>
        <w:tblW w:w="9040" w:type="dxa"/>
        <w:tblInd w:w="93" w:type="dxa"/>
        <w:tblLook w:val="0000"/>
      </w:tblPr>
      <w:tblGrid>
        <w:gridCol w:w="5860"/>
        <w:gridCol w:w="1680"/>
        <w:gridCol w:w="1500"/>
      </w:tblGrid>
      <w:tr w:rsidR="003E4626" w:rsidRPr="00EB2953" w:rsidTr="00EB2953">
        <w:trPr>
          <w:trHeight w:val="465"/>
        </w:trPr>
        <w:tc>
          <w:tcPr>
            <w:tcW w:w="5860" w:type="dxa"/>
            <w:tcBorders>
              <w:top w:val="single" w:sz="4" w:space="0" w:color="auto"/>
              <w:left w:val="single" w:sz="4" w:space="0" w:color="auto"/>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8"/>
                <w:szCs w:val="18"/>
                <w:lang w:val="hr-HR" w:eastAsia="hr-HR"/>
              </w:rPr>
            </w:pPr>
            <w:r w:rsidRPr="00EB2953">
              <w:rPr>
                <w:rFonts w:ascii="Arial" w:hAnsi="Arial" w:cs="Arial"/>
                <w:b/>
                <w:bCs/>
                <w:kern w:val="0"/>
                <w:sz w:val="18"/>
                <w:szCs w:val="18"/>
                <w:lang w:val="hr-HR" w:eastAsia="hr-HR"/>
              </w:rPr>
              <w:t>Naziv pozicije</w:t>
            </w:r>
          </w:p>
        </w:tc>
        <w:tc>
          <w:tcPr>
            <w:tcW w:w="1680" w:type="dxa"/>
            <w:tcBorders>
              <w:top w:val="single" w:sz="4" w:space="0" w:color="auto"/>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Prethodno razdoblje</w:t>
            </w:r>
          </w:p>
        </w:tc>
        <w:tc>
          <w:tcPr>
            <w:tcW w:w="1500" w:type="dxa"/>
            <w:tcBorders>
              <w:top w:val="single" w:sz="4" w:space="0" w:color="auto"/>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Tekuće razdoblje</w:t>
            </w:r>
          </w:p>
        </w:tc>
      </w:tr>
      <w:tr w:rsidR="003E4626" w:rsidRPr="00EB2953" w:rsidTr="00EB2953">
        <w:trPr>
          <w:trHeight w:val="255"/>
        </w:trPr>
        <w:tc>
          <w:tcPr>
            <w:tcW w:w="9040" w:type="dxa"/>
            <w:gridSpan w:val="3"/>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NOVČANI TIJEK OD POSLOVNIH AKTIVNOSTI</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Dobit prije poreza</w:t>
            </w:r>
          </w:p>
        </w:tc>
        <w:tc>
          <w:tcPr>
            <w:tcW w:w="1680" w:type="dxa"/>
            <w:tcBorders>
              <w:top w:val="single" w:sz="4" w:space="0" w:color="auto"/>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1.899.310.903</w:t>
            </w:r>
          </w:p>
        </w:tc>
        <w:tc>
          <w:tcPr>
            <w:tcW w:w="1500" w:type="dxa"/>
            <w:tcBorders>
              <w:top w:val="single" w:sz="4" w:space="0" w:color="auto"/>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1.830.463.294</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Amortizacija</w:t>
            </w:r>
          </w:p>
        </w:tc>
        <w:tc>
          <w:tcPr>
            <w:tcW w:w="16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962.755.291</w:t>
            </w:r>
          </w:p>
        </w:tc>
        <w:tc>
          <w:tcPr>
            <w:tcW w:w="150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961.347.180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Povećanje kratkoročnih obveza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Smanjenje kratkotrajnih potraživanja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72.208.643</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Smanjenje zaliha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38.191.010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Ostalo povećanje novčanog tijeka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 Ukupno povećanje novčanog tijeka od poslovnih aktivnosti (001 do 006)</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2.862.066.194</w:t>
            </w:r>
          </w:p>
        </w:tc>
        <w:tc>
          <w:tcPr>
            <w:tcW w:w="1500" w:type="dxa"/>
            <w:tcBorders>
              <w:top w:val="nil"/>
              <w:left w:val="single" w:sz="4" w:space="0" w:color="auto"/>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2.902.210.127</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Smanjenje kratkoročnih obveza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147.050.270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506.238.923</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Povećanje kratkotrajnih potraživanja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121.922.138</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Povećanje zaliha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52.126.145</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Ostalo smanjenje novčanog tijeka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324.076.451</w:t>
            </w:r>
          </w:p>
        </w:tc>
        <w:tc>
          <w:tcPr>
            <w:tcW w:w="1500" w:type="dxa"/>
            <w:tcBorders>
              <w:top w:val="nil"/>
              <w:left w:val="single" w:sz="4" w:space="0" w:color="auto"/>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505.550.212</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II. Ukupno smanjenje novčanog tijeka od poslovnih aktivnosti (008 do 011)</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645.175.003</w:t>
            </w:r>
          </w:p>
        </w:tc>
        <w:tc>
          <w:tcPr>
            <w:tcW w:w="1500" w:type="dxa"/>
            <w:tcBorders>
              <w:top w:val="nil"/>
              <w:left w:val="single" w:sz="4" w:space="0" w:color="auto"/>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1.011.789.135</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A1) NETO POVEĆANJE NOVČANOG TIJEKA OD POSLOVNIH</w:t>
            </w:r>
            <w:r w:rsidRPr="00EB2953">
              <w:rPr>
                <w:rFonts w:ascii="Arial" w:hAnsi="Arial" w:cs="Arial"/>
                <w:b/>
                <w:bCs/>
                <w:kern w:val="0"/>
                <w:sz w:val="18"/>
                <w:szCs w:val="18"/>
                <w:lang w:val="hr-HR" w:eastAsia="hr-HR"/>
              </w:rPr>
              <w:br/>
              <w:t xml:space="preserve">       AKTIVNOSTI (007-012)</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2.216.891.191</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1.890.420.992</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A2) NETO SMANJENJE NOVČANOG TIJEKA OD POSLOVNIH</w:t>
            </w:r>
            <w:r w:rsidRPr="00EB2953">
              <w:rPr>
                <w:rFonts w:ascii="Arial" w:hAnsi="Arial" w:cs="Arial"/>
                <w:b/>
                <w:bCs/>
                <w:kern w:val="0"/>
                <w:sz w:val="18"/>
                <w:szCs w:val="18"/>
                <w:lang w:val="hr-HR" w:eastAsia="hr-HR"/>
              </w:rPr>
              <w:br/>
              <w:t xml:space="preserve">       AKTIVNOSTI (012-007)</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9040" w:type="dxa"/>
            <w:gridSpan w:val="3"/>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NOVČANI TIJEK OD INVESTICIJSKIH AKTIVNOSTI</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Novčani primici od prodaje dugotrajne materijalne i nematerijalne imovine</w:t>
            </w:r>
          </w:p>
        </w:tc>
        <w:tc>
          <w:tcPr>
            <w:tcW w:w="1680" w:type="dxa"/>
            <w:tcBorders>
              <w:top w:val="single" w:sz="4" w:space="0" w:color="auto"/>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5.483.592</w:t>
            </w:r>
          </w:p>
        </w:tc>
        <w:tc>
          <w:tcPr>
            <w:tcW w:w="1500" w:type="dxa"/>
            <w:tcBorders>
              <w:top w:val="single" w:sz="4" w:space="0" w:color="auto"/>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10.684.892</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Novčani primici od prodaje vlasničkih i dužničkih instrumenata</w:t>
            </w:r>
          </w:p>
        </w:tc>
        <w:tc>
          <w:tcPr>
            <w:tcW w:w="16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436.615.610</w:t>
            </w:r>
          </w:p>
        </w:tc>
        <w:tc>
          <w:tcPr>
            <w:tcW w:w="150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73.951.800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Novčani primici od kamata</w:t>
            </w:r>
          </w:p>
        </w:tc>
        <w:tc>
          <w:tcPr>
            <w:tcW w:w="16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37.836.340</w:t>
            </w:r>
          </w:p>
        </w:tc>
        <w:tc>
          <w:tcPr>
            <w:tcW w:w="150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43.568.530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Novčani primici od dividendi</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5.780.556</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Ostali novčani primici od investicijskih aktivnosti</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138.147.238</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516.787.487</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III. Ukupno novčani primici od investicijskih aktivnosti (015 do 019)</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623.863.336</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644.992.709</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Novčani izdaci za kupnju dugotrajne materijalne i nematerijalne imovine</w:t>
            </w:r>
          </w:p>
        </w:tc>
        <w:tc>
          <w:tcPr>
            <w:tcW w:w="16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588.850.829</w:t>
            </w:r>
          </w:p>
        </w:tc>
        <w:tc>
          <w:tcPr>
            <w:tcW w:w="150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598.953.508</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Novčani izdaci za stjecanje vlasničkih i dužničkih financijskih instrumenata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290.406.481</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Ostali novčani izdaci od investicijskih aktivnosti</w:t>
            </w:r>
          </w:p>
        </w:tc>
        <w:tc>
          <w:tcPr>
            <w:tcW w:w="16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434.898.488</w:t>
            </w:r>
          </w:p>
        </w:tc>
        <w:tc>
          <w:tcPr>
            <w:tcW w:w="150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884.678.607</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IV. Ukupno novčani izdaci od investicijskih aktivnosti (021 do 023)</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1.314.155.799</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1.483.632.116</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B1) NETO POVEĆANJE NOVČANOG TIJEKA OD INVESTICIJSKIH</w:t>
            </w:r>
            <w:r w:rsidRPr="00EB2953">
              <w:rPr>
                <w:rFonts w:ascii="Arial" w:hAnsi="Arial" w:cs="Arial"/>
                <w:b/>
                <w:bCs/>
                <w:kern w:val="0"/>
                <w:sz w:val="18"/>
                <w:szCs w:val="18"/>
                <w:lang w:val="hr-HR" w:eastAsia="hr-HR"/>
              </w:rPr>
              <w:br/>
              <w:t xml:space="preserve">       AKTIVNOSTI (020-024)</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B2) NETO SMANJENJE NOVČANOG TIJEKA OD INVESTICIJSKIH</w:t>
            </w:r>
            <w:r w:rsidRPr="00EB2953">
              <w:rPr>
                <w:rFonts w:ascii="Arial" w:hAnsi="Arial" w:cs="Arial"/>
                <w:b/>
                <w:bCs/>
                <w:kern w:val="0"/>
                <w:sz w:val="18"/>
                <w:szCs w:val="18"/>
                <w:lang w:val="hr-HR" w:eastAsia="hr-HR"/>
              </w:rPr>
              <w:br/>
              <w:t xml:space="preserve">       AKTIVNOSTI (024-020)</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690.292.463</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838.639.406</w:t>
            </w:r>
          </w:p>
        </w:tc>
      </w:tr>
      <w:tr w:rsidR="003E4626" w:rsidRPr="00EB2953" w:rsidTr="00EB2953">
        <w:trPr>
          <w:trHeight w:val="255"/>
        </w:trPr>
        <w:tc>
          <w:tcPr>
            <w:tcW w:w="9040" w:type="dxa"/>
            <w:gridSpan w:val="3"/>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NOVČANI TIJEK OD FINANCIJSKIH AKTIVNOSTI</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Novčani primici od izdavanja vlasničkih i dužničkih financijskih instrumenata</w:t>
            </w:r>
          </w:p>
        </w:tc>
        <w:tc>
          <w:tcPr>
            <w:tcW w:w="1680" w:type="dxa"/>
            <w:tcBorders>
              <w:top w:val="single" w:sz="4" w:space="0" w:color="auto"/>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single" w:sz="4" w:space="0" w:color="auto"/>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Novčani primici od glavnice kredita, zadužnica, pozajmica i drugih posudbi</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Ostali primici od financijskih aktivnosti</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V. Ukupno novčani primici od financijskih aktivnosti (027 do 029)</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Novčani izdaci za otplatu glavnice kredita i obveznica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5.178</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9.164.246</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Novčani izdaci za isplatu dividendi</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2.788.304.617</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1.862.898.740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Novčani izdaci za financijski najam</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Novčani izdaci za otkup vlastitih dionica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Ostali novčani izdaci od financijskih aktivnosti</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VI. Ukupno novčani izdaci od financijskih aktivnosti (031 do 035)</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2.788.309.794</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b/>
                <w:bCs/>
                <w:kern w:val="0"/>
                <w:sz w:val="16"/>
                <w:szCs w:val="16"/>
                <w:lang w:val="hr-HR" w:eastAsia="hr-HR"/>
              </w:rPr>
            </w:pPr>
            <w:r w:rsidRPr="00EB2953">
              <w:rPr>
                <w:rFonts w:ascii="Arial" w:hAnsi="Arial" w:cs="Arial"/>
                <w:b/>
                <w:bCs/>
                <w:kern w:val="0"/>
                <w:sz w:val="16"/>
                <w:szCs w:val="16"/>
                <w:lang w:val="hr-HR" w:eastAsia="hr-HR"/>
              </w:rPr>
              <w:t>1.872.062.986</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C1) NETO POVEĆANJE NOVČANOG TIJEKA OD FINANCIJSKIH</w:t>
            </w:r>
            <w:r w:rsidRPr="00EB2953">
              <w:rPr>
                <w:rFonts w:ascii="Arial" w:hAnsi="Arial" w:cs="Arial"/>
                <w:b/>
                <w:bCs/>
                <w:kern w:val="0"/>
                <w:sz w:val="18"/>
                <w:szCs w:val="18"/>
                <w:lang w:val="hr-HR" w:eastAsia="hr-HR"/>
              </w:rPr>
              <w:br/>
              <w:t xml:space="preserve">       AKTIVNOSTI (030-036)</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C2) NETO SMANJENJE NOVČANOG TIJEKA OD FINANCIJSKIH</w:t>
            </w:r>
            <w:r w:rsidRPr="00EB2953">
              <w:rPr>
                <w:rFonts w:ascii="Arial" w:hAnsi="Arial" w:cs="Arial"/>
                <w:b/>
                <w:bCs/>
                <w:kern w:val="0"/>
                <w:sz w:val="18"/>
                <w:szCs w:val="18"/>
                <w:lang w:val="hr-HR" w:eastAsia="hr-HR"/>
              </w:rPr>
              <w:br/>
              <w:t xml:space="preserve">       AKTIVNOSTI (036-030)</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2.788.309.794</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1.872.062.986</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Ukupno povećanje novčanog tijeka (013 – 014 + 025 – 026 + 037 – 038)</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0,00</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0,00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Ukupno smanjenje novčanog tijeka (014 – 013 + 026 – 025 + 038 – 037)</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1.261.711.067</w:t>
            </w:r>
          </w:p>
        </w:tc>
        <w:tc>
          <w:tcPr>
            <w:tcW w:w="1500" w:type="dxa"/>
            <w:tcBorders>
              <w:top w:val="nil"/>
              <w:left w:val="single" w:sz="4" w:space="0" w:color="auto"/>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820.281.400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Novac i novčani ekvivalenti na početku razdoblja</w:t>
            </w:r>
          </w:p>
        </w:tc>
        <w:tc>
          <w:tcPr>
            <w:tcW w:w="168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4.175.892.949</w:t>
            </w:r>
          </w:p>
        </w:tc>
        <w:tc>
          <w:tcPr>
            <w:tcW w:w="150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3.245.292.373</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Povećanje  novca i novčanih ekvivalenata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500" w:type="dxa"/>
            <w:tcBorders>
              <w:top w:val="nil"/>
              <w:left w:val="single" w:sz="4" w:space="0" w:color="auto"/>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Smanjenje novca i novčanih ekvivalenata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1.261.711.067</w:t>
            </w:r>
          </w:p>
        </w:tc>
        <w:tc>
          <w:tcPr>
            <w:tcW w:w="1500" w:type="dxa"/>
            <w:tcBorders>
              <w:top w:val="nil"/>
              <w:left w:val="single" w:sz="4" w:space="0" w:color="auto"/>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820.281.400</w:t>
            </w:r>
          </w:p>
        </w:tc>
      </w:tr>
      <w:tr w:rsidR="003E4626" w:rsidRPr="00EB2953" w:rsidTr="00EB2953">
        <w:trPr>
          <w:trHeight w:val="255"/>
        </w:trPr>
        <w:tc>
          <w:tcPr>
            <w:tcW w:w="586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Novac i novčani ekvivalenti na kraju razdoblja</w:t>
            </w:r>
          </w:p>
        </w:tc>
        <w:tc>
          <w:tcPr>
            <w:tcW w:w="1680" w:type="dxa"/>
            <w:tcBorders>
              <w:top w:val="nil"/>
              <w:left w:val="nil"/>
              <w:bottom w:val="single" w:sz="4" w:space="0" w:color="auto"/>
              <w:right w:val="nil"/>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2.914.181.882</w:t>
            </w:r>
          </w:p>
        </w:tc>
        <w:tc>
          <w:tcPr>
            <w:tcW w:w="1500" w:type="dxa"/>
            <w:tcBorders>
              <w:top w:val="nil"/>
              <w:left w:val="single" w:sz="4" w:space="0" w:color="auto"/>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2.425.010.973</w:t>
            </w:r>
          </w:p>
        </w:tc>
      </w:tr>
    </w:tbl>
    <w:p w:rsidR="003E4626" w:rsidRDefault="003E4626" w:rsidP="006E2F77">
      <w:pPr>
        <w:pStyle w:val="T2"/>
        <w:spacing w:after="0"/>
        <w:rPr>
          <w:b/>
          <w:sz w:val="28"/>
          <w:szCs w:val="28"/>
          <w:lang w:val="hr-HR"/>
        </w:rPr>
      </w:pPr>
    </w:p>
    <w:p w:rsidR="003E4626" w:rsidRDefault="003E4626" w:rsidP="00BA5338">
      <w:pPr>
        <w:spacing w:before="240" w:after="240"/>
        <w:jc w:val="both"/>
        <w:outlineLvl w:val="0"/>
        <w:rPr>
          <w:rFonts w:ascii="Tele-GroteskEEHal" w:hAnsi="Tele-GroteskEEHal" w:cs="Arial"/>
          <w:b/>
          <w:sz w:val="22"/>
          <w:szCs w:val="22"/>
          <w:lang w:val="hr-HR"/>
        </w:rPr>
      </w:pPr>
      <w:r w:rsidRPr="00ED66C9">
        <w:rPr>
          <w:rFonts w:ascii="Tele-GroteskEEHal" w:hAnsi="Tele-GroteskEEHal" w:cs="Arial"/>
          <w:b/>
          <w:sz w:val="22"/>
          <w:szCs w:val="22"/>
          <w:lang w:val="hr-HR"/>
        </w:rPr>
        <w:t xml:space="preserve">Izvješće o promjenama u temeljnom kapitalu </w:t>
      </w:r>
    </w:p>
    <w:tbl>
      <w:tblPr>
        <w:tblW w:w="8520" w:type="dxa"/>
        <w:tblInd w:w="93" w:type="dxa"/>
        <w:tblLook w:val="0000"/>
      </w:tblPr>
      <w:tblGrid>
        <w:gridCol w:w="5862"/>
        <w:gridCol w:w="1329"/>
        <w:gridCol w:w="1329"/>
      </w:tblGrid>
      <w:tr w:rsidR="003E4626" w:rsidRPr="00EB2953" w:rsidTr="00EB2953">
        <w:trPr>
          <w:trHeight w:val="465"/>
        </w:trPr>
        <w:tc>
          <w:tcPr>
            <w:tcW w:w="6040" w:type="dxa"/>
            <w:tcBorders>
              <w:top w:val="single" w:sz="4" w:space="0" w:color="auto"/>
              <w:left w:val="single" w:sz="4" w:space="0" w:color="auto"/>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8"/>
                <w:szCs w:val="18"/>
                <w:lang w:val="hr-HR" w:eastAsia="hr-HR"/>
              </w:rPr>
            </w:pPr>
            <w:r w:rsidRPr="00EB2953">
              <w:rPr>
                <w:rFonts w:ascii="Arial" w:hAnsi="Arial" w:cs="Arial"/>
                <w:b/>
                <w:bCs/>
                <w:kern w:val="0"/>
                <w:sz w:val="18"/>
                <w:szCs w:val="18"/>
                <w:lang w:val="hr-HR" w:eastAsia="hr-HR"/>
              </w:rPr>
              <w:t>Naziv pozicije</w:t>
            </w:r>
          </w:p>
        </w:tc>
        <w:tc>
          <w:tcPr>
            <w:tcW w:w="1240" w:type="dxa"/>
            <w:tcBorders>
              <w:top w:val="single" w:sz="4" w:space="0" w:color="auto"/>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Prethodna godina</w:t>
            </w:r>
          </w:p>
        </w:tc>
        <w:tc>
          <w:tcPr>
            <w:tcW w:w="1240" w:type="dxa"/>
            <w:tcBorders>
              <w:top w:val="single" w:sz="4" w:space="0" w:color="auto"/>
              <w:left w:val="nil"/>
              <w:bottom w:val="single" w:sz="4" w:space="0" w:color="auto"/>
              <w:right w:val="single" w:sz="4" w:space="0" w:color="auto"/>
            </w:tcBorders>
            <w:vAlign w:val="center"/>
          </w:tcPr>
          <w:p w:rsidR="003E4626" w:rsidRPr="00EB2953" w:rsidRDefault="003E4626" w:rsidP="00EB2953">
            <w:pPr>
              <w:suppressAutoHyphens w:val="0"/>
              <w:jc w:val="center"/>
              <w:rPr>
                <w:rFonts w:ascii="Arial" w:hAnsi="Arial" w:cs="Arial"/>
                <w:b/>
                <w:bCs/>
                <w:kern w:val="0"/>
                <w:sz w:val="16"/>
                <w:szCs w:val="16"/>
                <w:lang w:val="hr-HR" w:eastAsia="hr-HR"/>
              </w:rPr>
            </w:pPr>
            <w:r w:rsidRPr="00EB2953">
              <w:rPr>
                <w:rFonts w:ascii="Arial" w:hAnsi="Arial" w:cs="Arial"/>
                <w:b/>
                <w:bCs/>
                <w:kern w:val="0"/>
                <w:sz w:val="16"/>
                <w:szCs w:val="16"/>
                <w:lang w:val="hr-HR" w:eastAsia="hr-HR"/>
              </w:rPr>
              <w:t>Tekuća godina</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1. Upisani kapital</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8.188.853.500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8.188.853.500</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2. Kapitalne rezerve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3. Rezerve iz dobiti</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409.442.675</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409.442.675</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4. Zadržana dobit ili preneseni gubitak</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740.180.617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740.429.777</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5. Dobit ili gubitak tekuće godine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1.864.032.217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1.475.667.281</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6. Revalorizacija dugotrajne materijalne imovine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7. Revalorizacija nematerijalne imovine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8. Revalorizacija financijske imovine raspoložive za prodaju</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-2.029.572</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-2.702.503</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 xml:space="preserve">  9. Ostala revalorizacija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10. Ukupno kapital i rezerve (AOP 001 do 009)</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11.200.479.437</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10.811.690.730</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11. Tečajne razlike s naslova neto ulaganja u inozemno poslovanje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12. Tekući i odgođeni porezi (dio)</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13. Zaštita novčanog tijeka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14. Promjene računovodstvenih politika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15. Ispravak značajnih pogrešaka prethodnog razdoblja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16. Ostale promjene kapitala</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17. Ukupno povećanje ili smanjenje kapitala (AOP 011 do 016)</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jc w:val="right"/>
              <w:rPr>
                <w:rFonts w:ascii="Arial" w:hAnsi="Arial" w:cs="Arial"/>
                <w:kern w:val="0"/>
                <w:sz w:val="16"/>
                <w:szCs w:val="16"/>
                <w:lang w:val="hr-HR" w:eastAsia="hr-HR"/>
              </w:rPr>
            </w:pPr>
            <w:r w:rsidRPr="00EB2953">
              <w:rPr>
                <w:rFonts w:ascii="Arial" w:hAnsi="Arial" w:cs="Arial"/>
                <w:kern w:val="0"/>
                <w:sz w:val="16"/>
                <w:szCs w:val="16"/>
                <w:lang w:val="hr-HR" w:eastAsia="hr-HR"/>
              </w:rPr>
              <w:t>0</w:t>
            </w:r>
          </w:p>
        </w:tc>
      </w:tr>
      <w:tr w:rsidR="003E4626" w:rsidRPr="00EB2953" w:rsidTr="00EB2953">
        <w:trPr>
          <w:trHeight w:val="255"/>
        </w:trPr>
        <w:tc>
          <w:tcPr>
            <w:tcW w:w="8520" w:type="dxa"/>
            <w:gridSpan w:val="3"/>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b/>
                <w:bCs/>
                <w:kern w:val="0"/>
                <w:sz w:val="18"/>
                <w:szCs w:val="18"/>
                <w:lang w:val="hr-HR" w:eastAsia="hr-HR"/>
              </w:rPr>
            </w:pPr>
            <w:r w:rsidRPr="00EB2953">
              <w:rPr>
                <w:rFonts w:ascii="Arial" w:hAnsi="Arial" w:cs="Arial"/>
                <w:b/>
                <w:bCs/>
                <w:kern w:val="0"/>
                <w:sz w:val="18"/>
                <w:szCs w:val="18"/>
                <w:lang w:val="hr-HR" w:eastAsia="hr-HR"/>
              </w:rPr>
              <w:t> </w:t>
            </w:r>
          </w:p>
        </w:tc>
      </w:tr>
      <w:tr w:rsidR="003E4626" w:rsidRPr="00EB2953" w:rsidTr="00EB2953">
        <w:trPr>
          <w:trHeight w:val="25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17 a. Pripisano imateljima kapitala matice</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r w:rsidR="003E4626" w:rsidRPr="00EB2953" w:rsidTr="00EB2953">
        <w:trPr>
          <w:trHeight w:val="345"/>
        </w:trPr>
        <w:tc>
          <w:tcPr>
            <w:tcW w:w="6040" w:type="dxa"/>
            <w:tcBorders>
              <w:top w:val="single" w:sz="4" w:space="0" w:color="auto"/>
              <w:left w:val="single" w:sz="4" w:space="0" w:color="auto"/>
              <w:bottom w:val="single" w:sz="4" w:space="0" w:color="auto"/>
              <w:right w:val="nil"/>
            </w:tcBorders>
            <w:vAlign w:val="center"/>
          </w:tcPr>
          <w:p w:rsidR="003E4626" w:rsidRPr="00EB2953" w:rsidRDefault="003E4626" w:rsidP="00EB2953">
            <w:pPr>
              <w:suppressAutoHyphens w:val="0"/>
              <w:rPr>
                <w:rFonts w:ascii="Arial" w:hAnsi="Arial" w:cs="Arial"/>
                <w:kern w:val="0"/>
                <w:sz w:val="18"/>
                <w:szCs w:val="18"/>
                <w:lang w:val="hr-HR" w:eastAsia="hr-HR"/>
              </w:rPr>
            </w:pPr>
            <w:r w:rsidRPr="00EB2953">
              <w:rPr>
                <w:rFonts w:ascii="Arial" w:hAnsi="Arial" w:cs="Arial"/>
                <w:kern w:val="0"/>
                <w:sz w:val="18"/>
                <w:szCs w:val="18"/>
                <w:lang w:val="hr-HR" w:eastAsia="hr-HR"/>
              </w:rPr>
              <w:t>17 b. Pripisano manjinskom interesu</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c>
          <w:tcPr>
            <w:tcW w:w="1240" w:type="dxa"/>
            <w:tcBorders>
              <w:top w:val="nil"/>
              <w:left w:val="nil"/>
              <w:bottom w:val="single" w:sz="4" w:space="0" w:color="auto"/>
              <w:right w:val="single" w:sz="4" w:space="0" w:color="auto"/>
            </w:tcBorders>
            <w:noWrap/>
            <w:vAlign w:val="center"/>
          </w:tcPr>
          <w:p w:rsidR="003E4626" w:rsidRPr="00EB2953" w:rsidRDefault="003E4626" w:rsidP="00EB2953">
            <w:pPr>
              <w:suppressAutoHyphens w:val="0"/>
              <w:rPr>
                <w:rFonts w:ascii="Arial" w:hAnsi="Arial" w:cs="Arial"/>
                <w:kern w:val="0"/>
                <w:sz w:val="16"/>
                <w:szCs w:val="16"/>
                <w:lang w:val="hr-HR" w:eastAsia="hr-HR"/>
              </w:rPr>
            </w:pPr>
            <w:r w:rsidRPr="00EB2953">
              <w:rPr>
                <w:rFonts w:ascii="Arial" w:hAnsi="Arial" w:cs="Arial"/>
                <w:kern w:val="0"/>
                <w:sz w:val="16"/>
                <w:szCs w:val="16"/>
                <w:lang w:val="hr-HR" w:eastAsia="hr-HR"/>
              </w:rPr>
              <w:t> </w:t>
            </w:r>
          </w:p>
        </w:tc>
      </w:tr>
    </w:tbl>
    <w:p w:rsidR="003E4626" w:rsidRDefault="003E4626" w:rsidP="006E2F77">
      <w:pPr>
        <w:pStyle w:val="T2"/>
        <w:spacing w:after="0"/>
        <w:rPr>
          <w:b/>
          <w:sz w:val="28"/>
          <w:szCs w:val="28"/>
          <w:lang w:val="hr-HR"/>
        </w:rPr>
      </w:pPr>
    </w:p>
    <w:p w:rsidR="003E4626" w:rsidRDefault="003E4626" w:rsidP="006E2F77">
      <w:pPr>
        <w:pStyle w:val="T2"/>
        <w:spacing w:after="0"/>
        <w:rPr>
          <w:b/>
          <w:sz w:val="28"/>
          <w:szCs w:val="28"/>
          <w:lang w:val="hr-HR"/>
        </w:rPr>
      </w:pPr>
    </w:p>
    <w:p w:rsidR="003E4626" w:rsidRDefault="003E4626" w:rsidP="006E2F77">
      <w:pPr>
        <w:pStyle w:val="T2"/>
        <w:spacing w:after="0"/>
        <w:rPr>
          <w:b/>
          <w:sz w:val="28"/>
          <w:szCs w:val="28"/>
          <w:lang w:val="hr-HR"/>
        </w:rPr>
      </w:pPr>
    </w:p>
    <w:p w:rsidR="003E4626" w:rsidRPr="00BA5338" w:rsidRDefault="003E4626" w:rsidP="00BA5338">
      <w:pPr>
        <w:pStyle w:val="T2"/>
        <w:spacing w:after="0"/>
        <w:rPr>
          <w:b/>
          <w:sz w:val="24"/>
          <w:szCs w:val="24"/>
          <w:lang w:val="hr-HR"/>
        </w:rPr>
      </w:pPr>
      <w:r w:rsidRPr="00BA5338">
        <w:rPr>
          <w:b/>
          <w:sz w:val="24"/>
          <w:szCs w:val="24"/>
          <w:lang w:val="hr-HR"/>
        </w:rPr>
        <w:t>Bilješke uz sažeta financijska izvješća</w:t>
      </w:r>
    </w:p>
    <w:p w:rsidR="003E4626" w:rsidRPr="00BA5338" w:rsidRDefault="003E4626" w:rsidP="00BA5338">
      <w:pPr>
        <w:pStyle w:val="T2"/>
        <w:spacing w:after="0"/>
        <w:rPr>
          <w:b/>
          <w:sz w:val="24"/>
          <w:szCs w:val="24"/>
          <w:lang w:val="hr-HR"/>
        </w:rPr>
      </w:pPr>
      <w:r w:rsidRPr="00BA5338">
        <w:rPr>
          <w:b/>
          <w:sz w:val="24"/>
          <w:szCs w:val="24"/>
          <w:lang w:val="hr-HR"/>
        </w:rPr>
        <w:t>Za razdoblje završeno 30. rujna 2011. godine</w:t>
      </w:r>
    </w:p>
    <w:p w:rsidR="003E4626" w:rsidRPr="003A46AA" w:rsidRDefault="003E4626" w:rsidP="00BA5338">
      <w:pPr>
        <w:pStyle w:val="T2"/>
        <w:spacing w:after="0"/>
        <w:rPr>
          <w:szCs w:val="19"/>
          <w:lang w:val="hr-HR"/>
        </w:rPr>
      </w:pPr>
    </w:p>
    <w:p w:rsidR="003E4626" w:rsidRPr="003A46AA" w:rsidRDefault="003E4626" w:rsidP="00BA5338">
      <w:pPr>
        <w:pStyle w:val="Numbered2"/>
        <w:numPr>
          <w:ilvl w:val="0"/>
          <w:numId w:val="0"/>
        </w:numPr>
        <w:rPr>
          <w:b/>
          <w:i w:val="0"/>
        </w:rPr>
      </w:pPr>
      <w:r w:rsidRPr="003A46AA">
        <w:rPr>
          <w:b/>
          <w:i w:val="0"/>
        </w:rPr>
        <w:t>Osnova izvješćivanja</w:t>
      </w:r>
    </w:p>
    <w:p w:rsidR="003E4626" w:rsidRPr="003A46AA" w:rsidRDefault="003E4626" w:rsidP="00BA5338">
      <w:pPr>
        <w:pStyle w:val="T2"/>
        <w:spacing w:after="0"/>
        <w:rPr>
          <w:szCs w:val="19"/>
          <w:lang w:val="hr-HR"/>
        </w:rPr>
      </w:pPr>
      <w:r>
        <w:rPr>
          <w:lang w:val="hr-HR"/>
        </w:rPr>
        <w:t>Sažeta</w:t>
      </w:r>
      <w:r w:rsidRPr="003A46AA">
        <w:rPr>
          <w:lang w:val="hr-HR"/>
        </w:rPr>
        <w:t xml:space="preserve"> fina</w:t>
      </w:r>
      <w:r>
        <w:rPr>
          <w:lang w:val="hr-HR"/>
        </w:rPr>
        <w:t>ncijska izvješća za</w:t>
      </w:r>
      <w:r w:rsidRPr="003A46AA">
        <w:rPr>
          <w:lang w:val="hr-HR"/>
        </w:rPr>
        <w:t xml:space="preserve"> razdoblje završeno 3</w:t>
      </w:r>
      <w:r>
        <w:rPr>
          <w:lang w:val="hr-HR"/>
        </w:rPr>
        <w:t>0</w:t>
      </w:r>
      <w:r w:rsidRPr="003A46AA">
        <w:rPr>
          <w:lang w:val="hr-HR"/>
        </w:rPr>
        <w:t xml:space="preserve">. </w:t>
      </w:r>
      <w:r>
        <w:rPr>
          <w:lang w:val="hr-HR"/>
        </w:rPr>
        <w:t>rujna</w:t>
      </w:r>
      <w:r w:rsidRPr="003A46AA">
        <w:rPr>
          <w:lang w:val="hr-HR"/>
        </w:rPr>
        <w:t xml:space="preserve"> </w:t>
      </w:r>
      <w:r>
        <w:rPr>
          <w:lang w:val="hr-HR"/>
        </w:rPr>
        <w:t>2011</w:t>
      </w:r>
      <w:r w:rsidRPr="003A46AA">
        <w:rPr>
          <w:lang w:val="hr-HR"/>
        </w:rPr>
        <w:t>. godine pripremljena su na temelju računovodstvenih politika koje su u skladu sa Međunarodnim standardima financijskog izvješćivanja.</w:t>
      </w:r>
    </w:p>
    <w:p w:rsidR="003E4626" w:rsidRPr="003A46AA" w:rsidRDefault="003E4626" w:rsidP="00BA5338">
      <w:pPr>
        <w:pStyle w:val="T2"/>
        <w:spacing w:after="0"/>
        <w:rPr>
          <w:szCs w:val="19"/>
          <w:highlight w:val="yellow"/>
          <w:lang w:val="hr-HR"/>
        </w:rPr>
      </w:pPr>
    </w:p>
    <w:p w:rsidR="003E4626" w:rsidRPr="003A46AA" w:rsidRDefault="003E4626" w:rsidP="00BA5338">
      <w:pPr>
        <w:pStyle w:val="T2"/>
        <w:spacing w:after="0"/>
        <w:rPr>
          <w:b/>
          <w:szCs w:val="19"/>
          <w:lang w:val="hr-HR"/>
        </w:rPr>
      </w:pPr>
      <w:r w:rsidRPr="003A46AA">
        <w:rPr>
          <w:b/>
          <w:szCs w:val="19"/>
          <w:lang w:val="hr-HR"/>
        </w:rPr>
        <w:t>Računovodstvene politike</w:t>
      </w:r>
    </w:p>
    <w:p w:rsidR="003E4626" w:rsidRPr="003A46AA" w:rsidRDefault="003E4626" w:rsidP="00BA5338">
      <w:pPr>
        <w:pStyle w:val="T10"/>
        <w:rPr>
          <w:szCs w:val="19"/>
          <w:lang w:val="hr-HR"/>
        </w:rPr>
      </w:pPr>
      <w:r>
        <w:rPr>
          <w:szCs w:val="19"/>
          <w:lang w:val="hr-HR"/>
        </w:rPr>
        <w:t>F</w:t>
      </w:r>
      <w:r w:rsidRPr="003A46AA">
        <w:rPr>
          <w:szCs w:val="19"/>
          <w:lang w:val="hr-HR"/>
        </w:rPr>
        <w:t>inancijska izvješća su sastavljena prema načelu povijesnih troškova, uz izuzetke financijske imovine raspoložive za prodaju koja se iskazuje po fer vrijednosti.</w:t>
      </w:r>
    </w:p>
    <w:p w:rsidR="003E4626" w:rsidRPr="00D865D7" w:rsidRDefault="003E4626" w:rsidP="00BA5338">
      <w:pPr>
        <w:pStyle w:val="T10"/>
        <w:rPr>
          <w:snapToGrid w:val="0"/>
          <w:szCs w:val="19"/>
          <w:lang w:val="hr-HR"/>
        </w:rPr>
      </w:pPr>
      <w:r>
        <w:rPr>
          <w:snapToGrid w:val="0"/>
          <w:szCs w:val="19"/>
          <w:lang w:val="hr-HR"/>
        </w:rPr>
        <w:t>Sažeta</w:t>
      </w:r>
      <w:r w:rsidRPr="003A46AA">
        <w:rPr>
          <w:snapToGrid w:val="0"/>
          <w:szCs w:val="19"/>
          <w:lang w:val="hr-HR"/>
        </w:rPr>
        <w:t xml:space="preserve"> financijska izvješća pripremljena su temeljem istih računovodstvenih politika, prikaza i metoda </w:t>
      </w:r>
      <w:r w:rsidRPr="00D865D7">
        <w:rPr>
          <w:snapToGrid w:val="0"/>
          <w:szCs w:val="19"/>
          <w:lang w:val="hr-HR"/>
        </w:rPr>
        <w:t>izračuna koji su se koristili prilikom pripreme godišnjih financijskih i</w:t>
      </w:r>
      <w:r>
        <w:rPr>
          <w:snapToGrid w:val="0"/>
          <w:szCs w:val="19"/>
          <w:lang w:val="hr-HR"/>
        </w:rPr>
        <w:t>zvješća na 31. prosinac 2010</w:t>
      </w:r>
      <w:r w:rsidRPr="00D865D7">
        <w:rPr>
          <w:snapToGrid w:val="0"/>
          <w:szCs w:val="19"/>
          <w:lang w:val="hr-HR"/>
        </w:rPr>
        <w:t>. godine.</w:t>
      </w:r>
    </w:p>
    <w:p w:rsidR="003E4626" w:rsidRDefault="003E4626" w:rsidP="00BA5338">
      <w:pPr>
        <w:rPr>
          <w:rFonts w:ascii="Arial" w:hAnsi="Arial" w:cs="Arial"/>
          <w:b/>
          <w:sz w:val="20"/>
          <w:szCs w:val="20"/>
        </w:rPr>
      </w:pPr>
    </w:p>
    <w:p w:rsidR="003E4626" w:rsidRPr="00D865D7" w:rsidRDefault="003E4626" w:rsidP="00BA5338">
      <w:pPr>
        <w:pStyle w:val="T2"/>
        <w:spacing w:after="0"/>
        <w:rPr>
          <w:b/>
          <w:szCs w:val="19"/>
          <w:lang w:val="hr-HR"/>
        </w:rPr>
      </w:pPr>
      <w:r w:rsidRPr="00D865D7">
        <w:rPr>
          <w:b/>
          <w:szCs w:val="19"/>
          <w:lang w:val="hr-HR"/>
        </w:rPr>
        <w:t>Dividenda</w:t>
      </w:r>
    </w:p>
    <w:p w:rsidR="003E4626" w:rsidRPr="008866BE" w:rsidRDefault="003E4626" w:rsidP="00BA5338">
      <w:pPr>
        <w:pStyle w:val="T10"/>
        <w:spacing w:before="120"/>
        <w:rPr>
          <w:lang w:val="hr-HR"/>
        </w:rPr>
      </w:pPr>
      <w:r>
        <w:rPr>
          <w:lang w:val="hr-HR"/>
        </w:rPr>
        <w:t>23</w:t>
      </w:r>
      <w:r w:rsidRPr="00CA46BC">
        <w:rPr>
          <w:lang w:val="hr-HR"/>
        </w:rPr>
        <w:t xml:space="preserve">. </w:t>
      </w:r>
      <w:r w:rsidRPr="006537FF">
        <w:rPr>
          <w:lang w:val="es-ES"/>
        </w:rPr>
        <w:t>svibnja</w:t>
      </w:r>
      <w:r>
        <w:rPr>
          <w:lang w:val="hr-HR"/>
        </w:rPr>
        <w:t xml:space="preserve"> 2011</w:t>
      </w:r>
      <w:r w:rsidRPr="008866BE">
        <w:rPr>
          <w:lang w:val="hr-HR"/>
        </w:rPr>
        <w:t xml:space="preserve">. </w:t>
      </w:r>
      <w:r w:rsidRPr="006537FF">
        <w:rPr>
          <w:lang w:val="es-ES"/>
        </w:rPr>
        <w:t>godine</w:t>
      </w:r>
      <w:r w:rsidRPr="008866BE">
        <w:rPr>
          <w:lang w:val="hr-HR"/>
        </w:rPr>
        <w:t xml:space="preserve"> </w:t>
      </w:r>
      <w:r w:rsidRPr="006537FF">
        <w:rPr>
          <w:lang w:val="es-ES"/>
        </w:rPr>
        <w:t>ispla</w:t>
      </w:r>
      <w:r w:rsidRPr="00ED7A0C">
        <w:rPr>
          <w:lang w:val="hr-HR"/>
        </w:rPr>
        <w:t>ć</w:t>
      </w:r>
      <w:r w:rsidRPr="006537FF">
        <w:rPr>
          <w:lang w:val="es-ES"/>
        </w:rPr>
        <w:t>ena</w:t>
      </w:r>
      <w:r w:rsidRPr="00ED7A0C">
        <w:rPr>
          <w:lang w:val="hr-HR"/>
        </w:rPr>
        <w:t xml:space="preserve"> </w:t>
      </w:r>
      <w:r w:rsidRPr="006537FF">
        <w:rPr>
          <w:lang w:val="es-ES"/>
        </w:rPr>
        <w:t>je</w:t>
      </w:r>
      <w:r w:rsidRPr="00ED7A0C">
        <w:rPr>
          <w:lang w:val="hr-HR"/>
        </w:rPr>
        <w:t xml:space="preserve"> </w:t>
      </w:r>
      <w:r w:rsidRPr="006537FF">
        <w:rPr>
          <w:lang w:val="es-ES"/>
        </w:rPr>
        <w:t>dividenda</w:t>
      </w:r>
      <w:r w:rsidRPr="008866BE">
        <w:rPr>
          <w:lang w:val="hr-HR"/>
        </w:rPr>
        <w:t xml:space="preserve"> </w:t>
      </w:r>
      <w:r w:rsidRPr="006537FF">
        <w:rPr>
          <w:lang w:val="es-ES"/>
        </w:rPr>
        <w:t>u</w:t>
      </w:r>
      <w:r w:rsidRPr="008866BE">
        <w:rPr>
          <w:lang w:val="hr-HR"/>
        </w:rPr>
        <w:t xml:space="preserve"> </w:t>
      </w:r>
      <w:r w:rsidRPr="006537FF">
        <w:rPr>
          <w:lang w:val="es-ES"/>
        </w:rPr>
        <w:t>iznosu</w:t>
      </w:r>
      <w:r w:rsidRPr="008866BE">
        <w:rPr>
          <w:lang w:val="hr-HR"/>
        </w:rPr>
        <w:t xml:space="preserve"> </w:t>
      </w:r>
      <w:r w:rsidRPr="006537FF">
        <w:rPr>
          <w:lang w:val="es-ES"/>
        </w:rPr>
        <w:t>od</w:t>
      </w:r>
      <w:r>
        <w:rPr>
          <w:lang w:val="hr-HR"/>
        </w:rPr>
        <w:t xml:space="preserve"> 1.864</w:t>
      </w:r>
      <w:r w:rsidRPr="008866BE">
        <w:rPr>
          <w:lang w:val="hr-HR"/>
        </w:rPr>
        <w:t xml:space="preserve"> </w:t>
      </w:r>
      <w:r w:rsidRPr="006537FF">
        <w:rPr>
          <w:lang w:val="es-ES"/>
        </w:rPr>
        <w:t>milijuna</w:t>
      </w:r>
      <w:r w:rsidRPr="008866BE">
        <w:rPr>
          <w:lang w:val="hr-HR"/>
        </w:rPr>
        <w:t xml:space="preserve"> </w:t>
      </w:r>
      <w:r w:rsidRPr="006537FF">
        <w:rPr>
          <w:lang w:val="es-ES"/>
        </w:rPr>
        <w:t>kuna</w:t>
      </w:r>
      <w:r>
        <w:rPr>
          <w:lang w:val="hr-HR"/>
        </w:rPr>
        <w:t xml:space="preserve"> (22,76</w:t>
      </w:r>
      <w:r w:rsidRPr="008866BE">
        <w:rPr>
          <w:lang w:val="hr-HR"/>
        </w:rPr>
        <w:t xml:space="preserve"> </w:t>
      </w:r>
      <w:r w:rsidRPr="006537FF">
        <w:rPr>
          <w:lang w:val="es-ES"/>
        </w:rPr>
        <w:t>kuna</w:t>
      </w:r>
      <w:r w:rsidRPr="008866BE">
        <w:rPr>
          <w:lang w:val="hr-HR"/>
        </w:rPr>
        <w:t xml:space="preserve"> </w:t>
      </w:r>
      <w:r w:rsidRPr="006537FF">
        <w:rPr>
          <w:lang w:val="es-ES"/>
        </w:rPr>
        <w:t>po</w:t>
      </w:r>
      <w:r w:rsidRPr="008866BE">
        <w:rPr>
          <w:lang w:val="hr-HR"/>
        </w:rPr>
        <w:t xml:space="preserve"> </w:t>
      </w:r>
      <w:r w:rsidRPr="006537FF">
        <w:rPr>
          <w:lang w:val="es-ES"/>
        </w:rPr>
        <w:t>dionici</w:t>
      </w:r>
      <w:r w:rsidRPr="008866BE">
        <w:rPr>
          <w:lang w:val="hr-HR"/>
        </w:rPr>
        <w:t>).</w:t>
      </w:r>
    </w:p>
    <w:p w:rsidR="003E4626" w:rsidRDefault="003E4626" w:rsidP="00BA5338">
      <w:pPr>
        <w:rPr>
          <w:rFonts w:ascii="Arial" w:hAnsi="Arial" w:cs="Arial"/>
          <w:b/>
          <w:sz w:val="20"/>
          <w:szCs w:val="20"/>
        </w:rPr>
      </w:pPr>
    </w:p>
    <w:p w:rsidR="003E4626" w:rsidRPr="00090152" w:rsidRDefault="003E4626" w:rsidP="00BA5338">
      <w:pPr>
        <w:rPr>
          <w:rFonts w:ascii="Arial" w:hAnsi="Arial" w:cs="Arial"/>
          <w:b/>
          <w:sz w:val="20"/>
          <w:szCs w:val="20"/>
        </w:rPr>
      </w:pPr>
    </w:p>
    <w:p w:rsidR="003E4626" w:rsidRPr="00090152" w:rsidRDefault="003E4626" w:rsidP="00BA5338">
      <w:pPr>
        <w:rPr>
          <w:rFonts w:ascii="Arial" w:hAnsi="Arial" w:cs="Arial"/>
          <w:b/>
          <w:sz w:val="20"/>
          <w:szCs w:val="20"/>
        </w:rPr>
      </w:pPr>
      <w:r w:rsidRPr="00090152">
        <w:rPr>
          <w:rFonts w:ascii="Arial" w:hAnsi="Arial" w:cs="Arial"/>
          <w:b/>
          <w:sz w:val="20"/>
          <w:szCs w:val="20"/>
        </w:rPr>
        <w:t>Podaci o segmentima</w:t>
      </w:r>
    </w:p>
    <w:p w:rsidR="003E4626" w:rsidRPr="00090152" w:rsidRDefault="003E4626" w:rsidP="00BA5338">
      <w:pPr>
        <w:rPr>
          <w:rFonts w:ascii="Arial" w:hAnsi="Arial" w:cs="Arial"/>
          <w:b/>
          <w:sz w:val="20"/>
          <w:szCs w:val="20"/>
        </w:rPr>
      </w:pPr>
    </w:p>
    <w:p w:rsidR="003E4626" w:rsidRPr="00090152" w:rsidRDefault="003E4626" w:rsidP="00BA5338">
      <w:pPr>
        <w:pStyle w:val="T10"/>
        <w:rPr>
          <w:snapToGrid w:val="0"/>
          <w:szCs w:val="19"/>
          <w:lang w:val="es-ES"/>
        </w:rPr>
      </w:pPr>
      <w:r w:rsidRPr="00090152">
        <w:rPr>
          <w:snapToGrid w:val="0"/>
          <w:szCs w:val="19"/>
        </w:rPr>
        <w:t xml:space="preserve">1. siječnja 2010. godine dosadašnji segmenti T-Com i T-Mobile koji su se odnosili na tržište nepokretne i pokretne telefonije, zamijenjeni su novom strukturom koja se temelji na Rezidencijalnim i Poslovnim segmentima. </w:t>
      </w:r>
      <w:r w:rsidRPr="00090152">
        <w:rPr>
          <w:snapToGrid w:val="0"/>
          <w:szCs w:val="19"/>
          <w:lang w:val="es-ES"/>
        </w:rPr>
        <w:t>Podaci o novim segmentima uvedeni su s prvim tromjesečjem 2011. godine.</w:t>
      </w:r>
    </w:p>
    <w:p w:rsidR="003E4626" w:rsidRPr="00090152" w:rsidRDefault="003E4626" w:rsidP="00BA5338">
      <w:pPr>
        <w:pStyle w:val="T10"/>
        <w:rPr>
          <w:snapToGrid w:val="0"/>
          <w:szCs w:val="19"/>
          <w:lang w:val="es-ES"/>
        </w:rPr>
      </w:pPr>
      <w:r w:rsidRPr="00090152">
        <w:rPr>
          <w:snapToGrid w:val="0"/>
          <w:szCs w:val="19"/>
          <w:lang w:val="es-ES"/>
        </w:rPr>
        <w:t>Operativni segmenti društva su Segment privatnih korisnika, Segment poslovnih korisnika i Mreža i funkcije podrške</w:t>
      </w:r>
    </w:p>
    <w:p w:rsidR="003E4626" w:rsidRPr="00090152" w:rsidRDefault="003E4626" w:rsidP="00BA5338">
      <w:pPr>
        <w:pStyle w:val="T10"/>
        <w:rPr>
          <w:snapToGrid w:val="0"/>
          <w:szCs w:val="19"/>
          <w:lang w:val="es-ES"/>
        </w:rPr>
      </w:pPr>
      <w:r w:rsidRPr="00090152">
        <w:rPr>
          <w:snapToGrid w:val="0"/>
          <w:szCs w:val="19"/>
          <w:lang w:val="es-ES"/>
        </w:rPr>
        <w:t>Segment privatnih korisnika uključuje marketinške aktivnosti, prodaju i brigu o korisnicima koja se usmjerava na pružanje usluga pokretne i nepokretne telefonije i distribuciju televizijskih programa privatnim korisnicima.</w:t>
      </w:r>
    </w:p>
    <w:p w:rsidR="003E4626" w:rsidRPr="00090152" w:rsidRDefault="003E4626" w:rsidP="00BA5338">
      <w:pPr>
        <w:pStyle w:val="T10"/>
        <w:rPr>
          <w:snapToGrid w:val="0"/>
          <w:szCs w:val="19"/>
          <w:lang w:val="es-ES"/>
        </w:rPr>
      </w:pPr>
      <w:r w:rsidRPr="00090152">
        <w:rPr>
          <w:snapToGrid w:val="0"/>
          <w:szCs w:val="19"/>
          <w:lang w:val="es-ES"/>
        </w:rPr>
        <w:t>Segment poslovnih korisnika uključuje marketinške aktivnosti, prodaju i brigu o korisnicima koja se usmjerava na pružanje usluga pokretne i nepokretne telefonije poslovnim korisnicima i javnom sektoru.  Segment poslovnih korisnika također je odgovoran za veleprodaju usluga nepokretne i pokretne telefonije.</w:t>
      </w:r>
    </w:p>
    <w:p w:rsidR="003E4626" w:rsidRPr="00090152" w:rsidRDefault="003E4626" w:rsidP="00BA5338">
      <w:pPr>
        <w:pStyle w:val="T10"/>
        <w:rPr>
          <w:snapToGrid w:val="0"/>
          <w:szCs w:val="19"/>
          <w:lang w:val="es-ES"/>
        </w:rPr>
      </w:pPr>
      <w:r w:rsidRPr="00090152">
        <w:rPr>
          <w:snapToGrid w:val="0"/>
          <w:szCs w:val="19"/>
          <w:lang w:val="es-ES"/>
        </w:rPr>
        <w:t>Mreža i funkcije podrške obuhvaćaju IT, nabavu, računovodstvo, riznicu, pravnu službu i ostale funkcije.</w:t>
      </w:r>
    </w:p>
    <w:p w:rsidR="003E4626" w:rsidRPr="00090152" w:rsidRDefault="003E4626" w:rsidP="00BA5338">
      <w:pPr>
        <w:pStyle w:val="T10"/>
        <w:rPr>
          <w:rFonts w:cs="Arial"/>
          <w:i/>
          <w:lang w:val="hr-HR"/>
        </w:rPr>
      </w:pPr>
      <w:r w:rsidRPr="00090152">
        <w:rPr>
          <w:rFonts w:cs="Arial"/>
          <w:i/>
          <w:lang w:val="hr-HR"/>
        </w:rPr>
        <w:t>Poslovni segmenti</w:t>
      </w:r>
    </w:p>
    <w:p w:rsidR="003E4626" w:rsidRPr="00090152" w:rsidRDefault="003E4626" w:rsidP="00BA5338">
      <w:pPr>
        <w:pStyle w:val="T10"/>
        <w:rPr>
          <w:rFonts w:cs="Arial"/>
          <w:i/>
          <w:lang w:val="hr-HR"/>
        </w:rPr>
      </w:pPr>
      <w:r w:rsidRPr="00090152">
        <w:rPr>
          <w:rFonts w:cs="Arial"/>
          <w:lang w:val="hr-HR"/>
        </w:rPr>
        <w:t>U sljedećim tabelama prikazani su prihod i dobit HT-a po poslovnim segmentima:</w:t>
      </w:r>
    </w:p>
    <w:p w:rsidR="003E4626" w:rsidRPr="00090152" w:rsidRDefault="003E4626" w:rsidP="00BA5338">
      <w:pPr>
        <w:pStyle w:val="T10"/>
        <w:rPr>
          <w:snapToGrid w:val="0"/>
          <w:szCs w:val="19"/>
          <w:highlight w:val="yellow"/>
          <w:lang w:val="hr-HR"/>
        </w:rPr>
      </w:pP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Razdoblje</w:t>
            </w:r>
          </w:p>
          <w:p w:rsidR="003E4626" w:rsidRDefault="003E4626" w:rsidP="00BA5338">
            <w:pPr>
              <w:rPr>
                <w:rFonts w:ascii="Arial" w:hAnsi="Arial" w:cs="Arial"/>
                <w:sz w:val="20"/>
                <w:szCs w:val="20"/>
              </w:rPr>
            </w:pPr>
          </w:p>
          <w:p w:rsidR="003E4626" w:rsidRPr="00090152" w:rsidRDefault="003E4626" w:rsidP="00BA5338">
            <w:pPr>
              <w:rPr>
                <w:rFonts w:ascii="Arial" w:hAnsi="Arial" w:cs="Arial"/>
                <w:sz w:val="20"/>
                <w:szCs w:val="20"/>
              </w:rPr>
            </w:pPr>
            <w:r w:rsidRPr="00090152">
              <w:rPr>
                <w:rFonts w:ascii="Arial" w:hAnsi="Arial" w:cs="Arial"/>
                <w:sz w:val="20"/>
                <w:szCs w:val="20"/>
              </w:rPr>
              <w:t>Siječanj-lipanj 2011</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Mreža i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1.</w:t>
            </w:r>
            <w:r>
              <w:rPr>
                <w:rFonts w:ascii="Arial" w:hAnsi="Arial" w:cs="Arial"/>
                <w:sz w:val="20"/>
                <w:szCs w:val="20"/>
              </w:rPr>
              <w:t>948</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1.374</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1.049</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807</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113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116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26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115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46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9</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85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3.234</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2.454</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1</w:t>
            </w:r>
            <w:r>
              <w:rPr>
                <w:rFonts w:ascii="Arial" w:hAnsi="Arial" w:cs="Arial"/>
                <w:b/>
                <w:bCs/>
                <w:sz w:val="20"/>
                <w:szCs w:val="20"/>
              </w:rPr>
              <w:t>73</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1.009</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785</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1.309</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2.225</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1.669</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w:t>
            </w:r>
            <w:r>
              <w:rPr>
                <w:rFonts w:ascii="Arial" w:hAnsi="Arial" w:cs="Arial"/>
                <w:b/>
                <w:bCs/>
                <w:sz w:val="20"/>
                <w:szCs w:val="20"/>
              </w:rPr>
              <w:t>1.136</w:t>
            </w:r>
          </w:p>
        </w:tc>
      </w:tr>
    </w:tbl>
    <w:p w:rsidR="003E4626" w:rsidRDefault="003E4626" w:rsidP="00BA5338">
      <w:pPr>
        <w:pStyle w:val="T10"/>
        <w:rPr>
          <w:snapToGrid w:val="0"/>
          <w:szCs w:val="19"/>
          <w:highlight w:val="yellow"/>
        </w:rPr>
      </w:pP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Tromjesečno razdoblje</w:t>
            </w:r>
          </w:p>
          <w:p w:rsidR="003E4626" w:rsidRDefault="003E4626" w:rsidP="00BA5338">
            <w:pPr>
              <w:rPr>
                <w:rFonts w:ascii="Arial" w:hAnsi="Arial" w:cs="Arial"/>
                <w:sz w:val="20"/>
                <w:szCs w:val="20"/>
              </w:rPr>
            </w:pPr>
          </w:p>
          <w:p w:rsidR="003E4626" w:rsidRPr="00090152" w:rsidRDefault="003E4626" w:rsidP="00BA5338">
            <w:pPr>
              <w:rPr>
                <w:rFonts w:ascii="Arial" w:hAnsi="Arial" w:cs="Arial"/>
                <w:sz w:val="20"/>
                <w:szCs w:val="20"/>
              </w:rPr>
            </w:pPr>
            <w:r>
              <w:rPr>
                <w:rFonts w:ascii="Arial" w:hAnsi="Arial" w:cs="Arial"/>
                <w:sz w:val="20"/>
                <w:szCs w:val="20"/>
              </w:rPr>
              <w:t>Srpanj-rujan</w:t>
            </w:r>
            <w:r w:rsidRPr="00090152">
              <w:rPr>
                <w:rFonts w:ascii="Arial" w:hAnsi="Arial" w:cs="Arial"/>
                <w:sz w:val="20"/>
                <w:szCs w:val="20"/>
              </w:rPr>
              <w:t xml:space="preserve"> 2011</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Mreža i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678</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531</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363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306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49</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20</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Default="003E4626" w:rsidP="00BA5338">
            <w:pPr>
              <w:jc w:val="right"/>
              <w:rPr>
                <w:rFonts w:ascii="Arial" w:hAnsi="Arial" w:cs="Arial"/>
                <w:sz w:val="20"/>
                <w:szCs w:val="20"/>
              </w:rPr>
            </w:pPr>
            <w:r>
              <w:rPr>
                <w:rFonts w:ascii="Arial" w:hAnsi="Arial" w:cs="Arial"/>
                <w:sz w:val="20"/>
                <w:szCs w:val="20"/>
              </w:rPr>
              <w:t>26</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2</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27</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1.125</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925</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53</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315</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244</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432</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810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681</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w:t>
            </w:r>
            <w:r>
              <w:rPr>
                <w:rFonts w:ascii="Arial" w:hAnsi="Arial" w:cs="Arial"/>
                <w:b/>
                <w:bCs/>
                <w:sz w:val="20"/>
                <w:szCs w:val="20"/>
              </w:rPr>
              <w:t>379</w:t>
            </w:r>
          </w:p>
        </w:tc>
      </w:tr>
    </w:tbl>
    <w:p w:rsidR="003E4626" w:rsidRDefault="003E4626" w:rsidP="00BA5338">
      <w:pPr>
        <w:pStyle w:val="T10"/>
        <w:rPr>
          <w:snapToGrid w:val="0"/>
          <w:szCs w:val="19"/>
          <w:highlight w:val="yellow"/>
        </w:rPr>
      </w:pPr>
    </w:p>
    <w:p w:rsidR="003E4626" w:rsidRPr="00090152" w:rsidRDefault="003E4626" w:rsidP="00BA5338">
      <w:pPr>
        <w:pStyle w:val="T10"/>
        <w:rPr>
          <w:snapToGrid w:val="0"/>
          <w:szCs w:val="19"/>
          <w:highlight w:val="yellow"/>
        </w:rPr>
      </w:pP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Razdoblje</w:t>
            </w:r>
          </w:p>
          <w:p w:rsidR="003E4626" w:rsidRPr="00090152" w:rsidRDefault="003E4626" w:rsidP="00BA5338">
            <w:pPr>
              <w:rPr>
                <w:rFonts w:ascii="Arial" w:hAnsi="Arial" w:cs="Arial"/>
                <w:sz w:val="20"/>
                <w:szCs w:val="20"/>
              </w:rPr>
            </w:pPr>
            <w:r w:rsidRPr="00090152">
              <w:rPr>
                <w:rFonts w:ascii="Arial" w:hAnsi="Arial" w:cs="Arial"/>
                <w:sz w:val="20"/>
                <w:szCs w:val="20"/>
              </w:rPr>
              <w:t>Siječanj-</w:t>
            </w:r>
            <w:r>
              <w:rPr>
                <w:rFonts w:ascii="Arial" w:hAnsi="Arial" w:cs="Arial"/>
                <w:sz w:val="20"/>
                <w:szCs w:val="20"/>
              </w:rPr>
              <w:t>rujan</w:t>
            </w:r>
            <w:r w:rsidRPr="00090152">
              <w:rPr>
                <w:rFonts w:ascii="Arial" w:hAnsi="Arial" w:cs="Arial"/>
                <w:sz w:val="20"/>
                <w:szCs w:val="20"/>
              </w:rPr>
              <w:t xml:space="preserve"> 201</w:t>
            </w:r>
            <w:r>
              <w:rPr>
                <w:rFonts w:ascii="Arial" w:hAnsi="Arial" w:cs="Arial"/>
                <w:sz w:val="20"/>
                <w:szCs w:val="20"/>
              </w:rPr>
              <w:t>0</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Mreža i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2.240</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1.554</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1.006</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854</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45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99</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135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44</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11</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120</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3.437</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2.676</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101</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1.167</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818</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1.405</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2.270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1.</w:t>
            </w:r>
            <w:r>
              <w:rPr>
                <w:rFonts w:ascii="Arial" w:hAnsi="Arial" w:cs="Arial"/>
                <w:b/>
                <w:bCs/>
                <w:sz w:val="20"/>
                <w:szCs w:val="20"/>
              </w:rPr>
              <w:t>858</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w:t>
            </w:r>
            <w:r>
              <w:rPr>
                <w:rFonts w:ascii="Arial" w:hAnsi="Arial" w:cs="Arial"/>
                <w:b/>
                <w:bCs/>
                <w:sz w:val="20"/>
                <w:szCs w:val="20"/>
              </w:rPr>
              <w:t>1.304</w:t>
            </w:r>
          </w:p>
        </w:tc>
      </w:tr>
    </w:tbl>
    <w:p w:rsidR="003E4626" w:rsidRPr="00090152" w:rsidRDefault="003E4626" w:rsidP="00BA5338">
      <w:pPr>
        <w:rPr>
          <w:rFonts w:ascii="Arial" w:hAnsi="Arial"/>
          <w:kern w:val="19"/>
          <w:sz w:val="19"/>
          <w:szCs w:val="19"/>
          <w:highlight w:val="yellow"/>
          <w:lang w:eastAsia="en-US"/>
        </w:rPr>
      </w:pPr>
    </w:p>
    <w:tbl>
      <w:tblPr>
        <w:tblW w:w="9132" w:type="dxa"/>
        <w:tblInd w:w="93" w:type="dxa"/>
        <w:tblLook w:val="0000"/>
      </w:tblPr>
      <w:tblGrid>
        <w:gridCol w:w="4132"/>
        <w:gridCol w:w="1600"/>
        <w:gridCol w:w="1600"/>
        <w:gridCol w:w="1800"/>
      </w:tblGrid>
      <w:tr w:rsidR="003E4626" w:rsidRPr="00090152" w:rsidTr="00BA5338">
        <w:trPr>
          <w:trHeight w:val="330"/>
        </w:trPr>
        <w:tc>
          <w:tcPr>
            <w:tcW w:w="4132" w:type="dxa"/>
            <w:tcBorders>
              <w:top w:val="nil"/>
              <w:left w:val="nil"/>
              <w:bottom w:val="nil"/>
              <w:right w:val="nil"/>
            </w:tcBorders>
            <w:noWrap/>
            <w:vAlign w:val="bottom"/>
          </w:tcPr>
          <w:p w:rsidR="003E4626" w:rsidRDefault="003E4626" w:rsidP="00BA5338">
            <w:pPr>
              <w:rPr>
                <w:rFonts w:ascii="Arial" w:hAnsi="Arial" w:cs="Arial"/>
                <w:sz w:val="20"/>
                <w:szCs w:val="20"/>
              </w:rPr>
            </w:pPr>
            <w:r>
              <w:rPr>
                <w:rFonts w:ascii="Arial" w:hAnsi="Arial" w:cs="Arial"/>
                <w:sz w:val="20"/>
                <w:szCs w:val="20"/>
              </w:rPr>
              <w:t>Tromjesečno razdoblje</w:t>
            </w:r>
          </w:p>
          <w:p w:rsidR="003E4626" w:rsidRPr="00090152" w:rsidRDefault="003E4626" w:rsidP="00BA5338">
            <w:pPr>
              <w:rPr>
                <w:rFonts w:ascii="Arial" w:hAnsi="Arial" w:cs="Arial"/>
                <w:sz w:val="20"/>
                <w:szCs w:val="20"/>
              </w:rPr>
            </w:pPr>
            <w:r>
              <w:rPr>
                <w:rFonts w:ascii="Arial" w:hAnsi="Arial" w:cs="Arial"/>
                <w:sz w:val="20"/>
                <w:szCs w:val="20"/>
              </w:rPr>
              <w:t>Srpanj-rujan</w:t>
            </w:r>
            <w:r w:rsidRPr="00090152">
              <w:rPr>
                <w:rFonts w:ascii="Arial" w:hAnsi="Arial" w:cs="Arial"/>
                <w:sz w:val="20"/>
                <w:szCs w:val="20"/>
              </w:rPr>
              <w:t xml:space="preserve"> 201</w:t>
            </w:r>
            <w:r>
              <w:rPr>
                <w:rFonts w:ascii="Arial" w:hAnsi="Arial" w:cs="Arial"/>
                <w:sz w:val="20"/>
                <w:szCs w:val="20"/>
              </w:rPr>
              <w:t>0</w:t>
            </w:r>
          </w:p>
        </w:tc>
        <w:tc>
          <w:tcPr>
            <w:tcW w:w="1600" w:type="dxa"/>
            <w:tcBorders>
              <w:top w:val="nil"/>
              <w:left w:val="nil"/>
              <w:bottom w:val="nil"/>
              <w:right w:val="nil"/>
            </w:tcBorders>
            <w:vAlign w:val="bottom"/>
          </w:tcPr>
          <w:p w:rsidR="003E4626" w:rsidRPr="00090152" w:rsidRDefault="003E4626" w:rsidP="00BA5338">
            <w:pPr>
              <w:rPr>
                <w:rFonts w:ascii="Arial" w:hAnsi="Arial" w:cs="Arial"/>
                <w:sz w:val="20"/>
                <w:szCs w:val="20"/>
              </w:rPr>
            </w:pPr>
          </w:p>
        </w:tc>
        <w:tc>
          <w:tcPr>
            <w:tcW w:w="16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c>
          <w:tcPr>
            <w:tcW w:w="1800" w:type="dxa"/>
            <w:tcBorders>
              <w:top w:val="nil"/>
              <w:left w:val="nil"/>
              <w:bottom w:val="nil"/>
              <w:right w:val="nil"/>
            </w:tcBorders>
            <w:noWrap/>
            <w:vAlign w:val="bottom"/>
          </w:tcPr>
          <w:p w:rsidR="003E4626" w:rsidRPr="00090152" w:rsidRDefault="003E4626" w:rsidP="00BA5338">
            <w:pPr>
              <w:rPr>
                <w:rFonts w:ascii="Arial" w:hAnsi="Arial" w:cs="Arial"/>
                <w:sz w:val="20"/>
                <w:szCs w:val="20"/>
              </w:rPr>
            </w:pPr>
          </w:p>
        </w:tc>
      </w:tr>
      <w:tr w:rsidR="003E4626" w:rsidRPr="007A07D7" w:rsidTr="00BA5338">
        <w:trPr>
          <w:trHeight w:val="99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 milijunima HRK</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privatnih korisnika</w:t>
            </w:r>
          </w:p>
        </w:tc>
        <w:tc>
          <w:tcPr>
            <w:tcW w:w="16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Segment poslovnih korisnika</w:t>
            </w:r>
          </w:p>
        </w:tc>
        <w:tc>
          <w:tcPr>
            <w:tcW w:w="1800" w:type="dxa"/>
            <w:tcBorders>
              <w:top w:val="single" w:sz="4" w:space="0" w:color="auto"/>
              <w:left w:val="nil"/>
              <w:bottom w:val="single" w:sz="4" w:space="0" w:color="auto"/>
              <w:right w:val="nil"/>
            </w:tcBorders>
            <w:vAlign w:val="bottom"/>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Mreža i funkcije podrške</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764</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605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neglasovnih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345</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321</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Prihod od ostalih usluga</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16</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32</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Pr>
                <w:rFonts w:ascii="Arial" w:hAnsi="Arial" w:cs="Arial"/>
                <w:sz w:val="20"/>
                <w:szCs w:val="20"/>
              </w:rPr>
              <w:t>ICT usluge</w:t>
            </w:r>
          </w:p>
        </w:tc>
        <w:tc>
          <w:tcPr>
            <w:tcW w:w="1600" w:type="dxa"/>
            <w:tcBorders>
              <w:top w:val="nil"/>
              <w:left w:val="nil"/>
              <w:bottom w:val="nil"/>
              <w:right w:val="nil"/>
            </w:tcBorders>
            <w:vAlign w:val="bottom"/>
          </w:tcPr>
          <w:p w:rsidR="003E4626" w:rsidRDefault="003E4626" w:rsidP="00BA5338">
            <w:pPr>
              <w:jc w:val="right"/>
              <w:rPr>
                <w:rFonts w:ascii="Arial" w:hAnsi="Arial" w:cs="Arial"/>
                <w:sz w:val="20"/>
                <w:szCs w:val="20"/>
              </w:rPr>
            </w:pPr>
            <w:r>
              <w:rPr>
                <w:rFonts w:ascii="Arial" w:hAnsi="Arial" w:cs="Arial"/>
                <w:sz w:val="20"/>
                <w:szCs w:val="20"/>
              </w:rPr>
              <w:t>0</w:t>
            </w:r>
          </w:p>
        </w:tc>
        <w:tc>
          <w:tcPr>
            <w:tcW w:w="1600" w:type="dxa"/>
            <w:tcBorders>
              <w:top w:val="nil"/>
              <w:left w:val="nil"/>
              <w:bottom w:val="nil"/>
              <w:right w:val="nil"/>
            </w:tcBorders>
            <w:noWrap/>
            <w:vAlign w:val="bottom"/>
          </w:tcPr>
          <w:p w:rsidR="003E4626" w:rsidRDefault="003E4626" w:rsidP="00BA5338">
            <w:pPr>
              <w:jc w:val="right"/>
              <w:rPr>
                <w:rFonts w:ascii="Arial" w:hAnsi="Arial" w:cs="Arial"/>
                <w:sz w:val="20"/>
                <w:szCs w:val="20"/>
              </w:rPr>
            </w:pPr>
            <w:r>
              <w:rPr>
                <w:rFonts w:ascii="Arial" w:hAnsi="Arial" w:cs="Arial"/>
                <w:sz w:val="20"/>
                <w:szCs w:val="20"/>
              </w:rPr>
              <w:t>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 xml:space="preserve">Terminalna oprema </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43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15</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nil"/>
              <w:left w:val="nil"/>
              <w:bottom w:val="nil"/>
              <w:right w:val="nil"/>
            </w:tcBorders>
            <w:noWrap/>
            <w:vAlign w:val="center"/>
          </w:tcPr>
          <w:p w:rsidR="003E4626" w:rsidRPr="007A07D7" w:rsidRDefault="003E4626" w:rsidP="00BA5338">
            <w:pPr>
              <w:rPr>
                <w:rFonts w:ascii="Arial" w:hAnsi="Arial" w:cs="Arial"/>
                <w:sz w:val="20"/>
                <w:szCs w:val="20"/>
              </w:rPr>
            </w:pPr>
            <w:r w:rsidRPr="007A07D7">
              <w:rPr>
                <w:rFonts w:ascii="Arial" w:hAnsi="Arial" w:cs="Arial"/>
                <w:sz w:val="20"/>
                <w:szCs w:val="20"/>
              </w:rPr>
              <w:t>Ostalo</w:t>
            </w:r>
          </w:p>
        </w:tc>
        <w:tc>
          <w:tcPr>
            <w:tcW w:w="1600" w:type="dxa"/>
            <w:tcBorders>
              <w:top w:val="nil"/>
              <w:left w:val="nil"/>
              <w:bottom w:val="nil"/>
              <w:right w:val="nil"/>
            </w:tcBorders>
            <w:vAlign w:val="bottom"/>
          </w:tcPr>
          <w:p w:rsidR="003E4626" w:rsidRPr="007A07D7" w:rsidRDefault="003E4626" w:rsidP="00BA5338">
            <w:pPr>
              <w:jc w:val="right"/>
              <w:rPr>
                <w:rFonts w:ascii="Arial" w:hAnsi="Arial" w:cs="Arial"/>
                <w:sz w:val="20"/>
                <w:szCs w:val="20"/>
              </w:rPr>
            </w:pPr>
            <w:r>
              <w:rPr>
                <w:rFonts w:ascii="Arial" w:hAnsi="Arial" w:cs="Arial"/>
                <w:sz w:val="20"/>
                <w:szCs w:val="20"/>
              </w:rPr>
              <w:t>3</w:t>
            </w:r>
          </w:p>
        </w:tc>
        <w:tc>
          <w:tcPr>
            <w:tcW w:w="16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Pr>
                <w:rFonts w:ascii="Arial" w:hAnsi="Arial" w:cs="Arial"/>
                <w:sz w:val="20"/>
                <w:szCs w:val="20"/>
              </w:rPr>
              <w:t>43</w:t>
            </w:r>
          </w:p>
        </w:tc>
        <w:tc>
          <w:tcPr>
            <w:tcW w:w="1800" w:type="dxa"/>
            <w:tcBorders>
              <w:top w:val="nil"/>
              <w:left w:val="nil"/>
              <w:bottom w:val="nil"/>
              <w:right w:val="nil"/>
            </w:tcBorders>
            <w:noWrap/>
            <w:vAlign w:val="bottom"/>
          </w:tcPr>
          <w:p w:rsidR="003E4626" w:rsidRPr="007A07D7" w:rsidRDefault="003E4626" w:rsidP="00BA5338">
            <w:pPr>
              <w:jc w:val="right"/>
              <w:rPr>
                <w:rFonts w:ascii="Arial" w:hAnsi="Arial" w:cs="Arial"/>
                <w:sz w:val="20"/>
                <w:szCs w:val="20"/>
              </w:rPr>
            </w:pPr>
            <w:r w:rsidRPr="007A07D7">
              <w:rPr>
                <w:rFonts w:ascii="Arial" w:hAnsi="Arial" w:cs="Arial"/>
                <w:sz w:val="20"/>
                <w:szCs w:val="20"/>
              </w:rPr>
              <w:t>0</w:t>
            </w:r>
          </w:p>
        </w:tc>
      </w:tr>
      <w:tr w:rsidR="003E4626" w:rsidRPr="007A07D7" w:rsidTr="00BA5338">
        <w:trPr>
          <w:trHeight w:val="330"/>
        </w:trPr>
        <w:tc>
          <w:tcPr>
            <w:tcW w:w="4132" w:type="dxa"/>
            <w:tcBorders>
              <w:top w:val="single" w:sz="4" w:space="0" w:color="auto"/>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Ukupni prihodi</w:t>
            </w:r>
          </w:p>
        </w:tc>
        <w:tc>
          <w:tcPr>
            <w:tcW w:w="1600" w:type="dxa"/>
            <w:tcBorders>
              <w:top w:val="single" w:sz="4" w:space="0" w:color="auto"/>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1.171</w:t>
            </w:r>
          </w:p>
        </w:tc>
        <w:tc>
          <w:tcPr>
            <w:tcW w:w="16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1.021</w:t>
            </w:r>
          </w:p>
        </w:tc>
        <w:tc>
          <w:tcPr>
            <w:tcW w:w="1800" w:type="dxa"/>
            <w:tcBorders>
              <w:top w:val="single" w:sz="4" w:space="0" w:color="auto"/>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Ostali poslovni prihodi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0</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27</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Troškovi iz osnovne djelatnosti</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346</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277</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470</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6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c>
          <w:tcPr>
            <w:tcW w:w="1800"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w:t>
            </w:r>
          </w:p>
        </w:tc>
      </w:tr>
      <w:tr w:rsidR="003E4626" w:rsidRPr="007A07D7" w:rsidTr="00BA5338">
        <w:trPr>
          <w:trHeight w:val="330"/>
        </w:trPr>
        <w:tc>
          <w:tcPr>
            <w:tcW w:w="4132" w:type="dxa"/>
            <w:tcBorders>
              <w:top w:val="nil"/>
              <w:left w:val="nil"/>
              <w:bottom w:val="single" w:sz="4" w:space="0" w:color="auto"/>
              <w:right w:val="nil"/>
            </w:tcBorders>
            <w:noWrap/>
            <w:vAlign w:val="center"/>
          </w:tcPr>
          <w:p w:rsidR="003E4626" w:rsidRPr="007A07D7" w:rsidRDefault="003E4626" w:rsidP="00BA5338">
            <w:pPr>
              <w:rPr>
                <w:rFonts w:ascii="Arial" w:hAnsi="Arial" w:cs="Arial"/>
                <w:b/>
                <w:bCs/>
                <w:sz w:val="20"/>
                <w:szCs w:val="20"/>
              </w:rPr>
            </w:pPr>
            <w:r w:rsidRPr="007A07D7">
              <w:rPr>
                <w:rFonts w:ascii="Arial" w:hAnsi="Arial" w:cs="Arial"/>
                <w:b/>
                <w:bCs/>
                <w:sz w:val="20"/>
                <w:szCs w:val="20"/>
              </w:rPr>
              <w:t xml:space="preserve">Dobit prije kamata, poreza i amortizacije </w:t>
            </w:r>
          </w:p>
        </w:tc>
        <w:tc>
          <w:tcPr>
            <w:tcW w:w="1600" w:type="dxa"/>
            <w:tcBorders>
              <w:top w:val="nil"/>
              <w:left w:val="nil"/>
              <w:bottom w:val="single" w:sz="4" w:space="0" w:color="auto"/>
              <w:right w:val="nil"/>
            </w:tcBorders>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825</w:t>
            </w:r>
          </w:p>
        </w:tc>
        <w:tc>
          <w:tcPr>
            <w:tcW w:w="16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Pr>
                <w:rFonts w:ascii="Arial" w:hAnsi="Arial" w:cs="Arial"/>
                <w:b/>
                <w:bCs/>
                <w:sz w:val="20"/>
                <w:szCs w:val="20"/>
              </w:rPr>
              <w:t>744</w:t>
            </w:r>
          </w:p>
        </w:tc>
        <w:tc>
          <w:tcPr>
            <w:tcW w:w="1800" w:type="dxa"/>
            <w:tcBorders>
              <w:top w:val="nil"/>
              <w:left w:val="nil"/>
              <w:bottom w:val="single" w:sz="4" w:space="0" w:color="auto"/>
              <w:right w:val="nil"/>
            </w:tcBorders>
            <w:noWrap/>
            <w:vAlign w:val="center"/>
          </w:tcPr>
          <w:p w:rsidR="003E4626" w:rsidRPr="007A07D7" w:rsidRDefault="003E4626" w:rsidP="00BA5338">
            <w:pPr>
              <w:jc w:val="right"/>
              <w:rPr>
                <w:rFonts w:ascii="Arial" w:hAnsi="Arial" w:cs="Arial"/>
                <w:b/>
                <w:bCs/>
                <w:sz w:val="20"/>
                <w:szCs w:val="20"/>
              </w:rPr>
            </w:pPr>
            <w:r w:rsidRPr="007A07D7">
              <w:rPr>
                <w:rFonts w:ascii="Arial" w:hAnsi="Arial" w:cs="Arial"/>
                <w:b/>
                <w:bCs/>
                <w:sz w:val="20"/>
                <w:szCs w:val="20"/>
              </w:rPr>
              <w:t>-</w:t>
            </w:r>
            <w:r>
              <w:rPr>
                <w:rFonts w:ascii="Arial" w:hAnsi="Arial" w:cs="Arial"/>
                <w:b/>
                <w:bCs/>
                <w:sz w:val="20"/>
                <w:szCs w:val="20"/>
              </w:rPr>
              <w:t>443</w:t>
            </w:r>
          </w:p>
        </w:tc>
      </w:tr>
    </w:tbl>
    <w:p w:rsidR="003E4626" w:rsidRPr="00090152" w:rsidRDefault="003E4626" w:rsidP="00BA5338">
      <w:pPr>
        <w:rPr>
          <w:rFonts w:ascii="Arial" w:hAnsi="Arial" w:cs="Arial"/>
          <w:b/>
          <w:sz w:val="20"/>
          <w:szCs w:val="20"/>
          <w:highlight w:val="yellow"/>
        </w:rPr>
      </w:pPr>
    </w:p>
    <w:p w:rsidR="003E4626" w:rsidRPr="00090152" w:rsidRDefault="003E4626" w:rsidP="00BA5338">
      <w:pPr>
        <w:rPr>
          <w:rFonts w:ascii="Arial" w:hAnsi="Arial" w:cs="Arial"/>
          <w:b/>
          <w:sz w:val="20"/>
          <w:szCs w:val="20"/>
          <w:highlight w:val="yellow"/>
        </w:rPr>
      </w:pPr>
    </w:p>
    <w:p w:rsidR="003E4626" w:rsidRPr="009A7B85" w:rsidRDefault="003E4626" w:rsidP="00BA5338">
      <w:pPr>
        <w:pStyle w:val="T2"/>
        <w:spacing w:after="0"/>
        <w:rPr>
          <w:b/>
          <w:szCs w:val="19"/>
          <w:lang w:val="hr-HR"/>
        </w:rPr>
      </w:pPr>
      <w:r w:rsidRPr="009A7B85">
        <w:rPr>
          <w:b/>
          <w:szCs w:val="19"/>
          <w:lang w:val="hr-HR"/>
        </w:rPr>
        <w:t>Odnosi s vladajućim i njime povezanim društvima</w:t>
      </w:r>
    </w:p>
    <w:p w:rsidR="003E4626" w:rsidRPr="00181953" w:rsidRDefault="003E4626" w:rsidP="00BA5338">
      <w:pPr>
        <w:pStyle w:val="T10"/>
        <w:rPr>
          <w:rFonts w:cs="Arial"/>
          <w:snapToGrid w:val="0"/>
          <w:sz w:val="20"/>
          <w:lang w:val="hr-HR"/>
        </w:rPr>
      </w:pPr>
      <w:r>
        <w:rPr>
          <w:rFonts w:cs="Arial"/>
          <w:snapToGrid w:val="0"/>
          <w:sz w:val="20"/>
        </w:rPr>
        <w:t>U</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181953">
        <w:rPr>
          <w:rFonts w:cs="Arial"/>
          <w:snapToGrid w:val="0"/>
          <w:sz w:val="20"/>
          <w:lang w:val="hr-HR"/>
        </w:rPr>
        <w:t xml:space="preserve"> </w:t>
      </w:r>
      <w:r>
        <w:rPr>
          <w:rFonts w:cs="Arial"/>
          <w:snapToGrid w:val="0"/>
          <w:sz w:val="20"/>
        </w:rPr>
        <w:t>mjesec</w:t>
      </w:r>
      <w:r>
        <w:rPr>
          <w:rFonts w:cs="Arial"/>
          <w:snapToGrid w:val="0"/>
          <w:sz w:val="20"/>
          <w:lang w:val="hr-HR"/>
        </w:rPr>
        <w:t>i 2011</w:t>
      </w:r>
      <w:r w:rsidRPr="00181953">
        <w:rPr>
          <w:rFonts w:cs="Arial"/>
          <w:snapToGrid w:val="0"/>
          <w:sz w:val="20"/>
          <w:lang w:val="hr-HR"/>
        </w:rPr>
        <w:t xml:space="preserve">. </w:t>
      </w:r>
      <w:r w:rsidRPr="002568A7">
        <w:rPr>
          <w:rFonts w:cs="Arial"/>
          <w:snapToGrid w:val="0"/>
          <w:sz w:val="20"/>
        </w:rPr>
        <w:t>godine</w:t>
      </w:r>
      <w:r w:rsidRPr="00181953">
        <w:rPr>
          <w:rFonts w:cs="Arial"/>
          <w:snapToGrid w:val="0"/>
          <w:sz w:val="20"/>
          <w:lang w:val="hr-HR"/>
        </w:rPr>
        <w:t xml:space="preserve"> </w:t>
      </w:r>
      <w:r w:rsidRPr="002568A7">
        <w:rPr>
          <w:rFonts w:cs="Arial"/>
          <w:snapToGrid w:val="0"/>
          <w:sz w:val="20"/>
        </w:rPr>
        <w:t>nije</w:t>
      </w:r>
      <w:r w:rsidRPr="00181953">
        <w:rPr>
          <w:rFonts w:cs="Arial"/>
          <w:snapToGrid w:val="0"/>
          <w:sz w:val="20"/>
          <w:lang w:val="hr-HR"/>
        </w:rPr>
        <w:t xml:space="preserve"> </w:t>
      </w:r>
      <w:r w:rsidRPr="002568A7">
        <w:rPr>
          <w:rFonts w:cs="Arial"/>
          <w:snapToGrid w:val="0"/>
          <w:sz w:val="20"/>
        </w:rPr>
        <w:t>bilo</w:t>
      </w:r>
      <w:r w:rsidRPr="00181953">
        <w:rPr>
          <w:rFonts w:cs="Arial"/>
          <w:snapToGrid w:val="0"/>
          <w:sz w:val="20"/>
          <w:lang w:val="hr-HR"/>
        </w:rPr>
        <w:t xml:space="preserve"> </w:t>
      </w:r>
      <w:r w:rsidRPr="002568A7">
        <w:rPr>
          <w:rFonts w:cs="Arial"/>
          <w:snapToGrid w:val="0"/>
          <w:sz w:val="20"/>
        </w:rPr>
        <w:t>transakcija</w:t>
      </w:r>
      <w:r w:rsidRPr="00181953">
        <w:rPr>
          <w:rFonts w:cs="Arial"/>
          <w:snapToGrid w:val="0"/>
          <w:sz w:val="20"/>
          <w:lang w:val="hr-HR"/>
        </w:rPr>
        <w:t xml:space="preserve"> </w:t>
      </w:r>
      <w:r w:rsidRPr="002568A7">
        <w:rPr>
          <w:rFonts w:cs="Arial"/>
          <w:snapToGrid w:val="0"/>
          <w:sz w:val="20"/>
        </w:rPr>
        <w:t>izme</w:t>
      </w:r>
      <w:r w:rsidRPr="00181953">
        <w:rPr>
          <w:rFonts w:cs="Arial"/>
          <w:snapToGrid w:val="0"/>
          <w:sz w:val="20"/>
          <w:lang w:val="hr-HR"/>
        </w:rPr>
        <w:t>đ</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povezanih</w:t>
      </w:r>
      <w:r w:rsidRPr="00181953">
        <w:rPr>
          <w:rFonts w:cs="Arial"/>
          <w:snapToGrid w:val="0"/>
          <w:sz w:val="20"/>
          <w:lang w:val="hr-HR"/>
        </w:rPr>
        <w:t xml:space="preserve"> </w:t>
      </w:r>
      <w:r w:rsidRPr="002568A7">
        <w:rPr>
          <w:rFonts w:cs="Arial"/>
          <w:snapToGrid w:val="0"/>
          <w:sz w:val="20"/>
        </w:rPr>
        <w:t>osoba</w:t>
      </w:r>
      <w:r w:rsidRPr="00181953">
        <w:rPr>
          <w:rFonts w:cs="Arial"/>
          <w:snapToGrid w:val="0"/>
          <w:sz w:val="20"/>
          <w:lang w:val="hr-HR"/>
        </w:rPr>
        <w:t xml:space="preserve"> </w:t>
      </w:r>
      <w:r w:rsidRPr="002568A7">
        <w:rPr>
          <w:rFonts w:cs="Arial"/>
          <w:snapToGrid w:val="0"/>
          <w:sz w:val="20"/>
        </w:rPr>
        <w:t>koje</w:t>
      </w:r>
      <w:r w:rsidRPr="00181953">
        <w:rPr>
          <w:rFonts w:cs="Arial"/>
          <w:snapToGrid w:val="0"/>
          <w:sz w:val="20"/>
          <w:lang w:val="hr-HR"/>
        </w:rPr>
        <w:t xml:space="preserve"> </w:t>
      </w:r>
      <w:r w:rsidRPr="002568A7">
        <w:rPr>
          <w:rFonts w:cs="Arial"/>
          <w:snapToGrid w:val="0"/>
          <w:sz w:val="20"/>
        </w:rPr>
        <w:t>su</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tom</w:t>
      </w:r>
      <w:r w:rsidRPr="00181953">
        <w:rPr>
          <w:rFonts w:cs="Arial"/>
          <w:snapToGrid w:val="0"/>
          <w:sz w:val="20"/>
          <w:lang w:val="hr-HR"/>
        </w:rPr>
        <w:t xml:space="preserve"> </w:t>
      </w:r>
      <w:r w:rsidRPr="002568A7">
        <w:rPr>
          <w:rFonts w:cs="Arial"/>
          <w:snapToGrid w:val="0"/>
          <w:sz w:val="20"/>
        </w:rPr>
        <w:t>razdoblju</w:t>
      </w:r>
      <w:r w:rsidRPr="00181953">
        <w:rPr>
          <w:rFonts w:cs="Arial"/>
          <w:snapToGrid w:val="0"/>
          <w:sz w:val="20"/>
          <w:lang w:val="hr-HR"/>
        </w:rPr>
        <w:t xml:space="preserve"> </w:t>
      </w:r>
      <w:r w:rsidRPr="002568A7">
        <w:rPr>
          <w:rFonts w:cs="Arial"/>
          <w:snapToGrid w:val="0"/>
          <w:sz w:val="20"/>
        </w:rPr>
        <w:t>zna</w:t>
      </w:r>
      <w:r w:rsidRPr="00181953">
        <w:rPr>
          <w:rFonts w:cs="Arial"/>
          <w:snapToGrid w:val="0"/>
          <w:sz w:val="20"/>
          <w:lang w:val="hr-HR"/>
        </w:rPr>
        <w:t>č</w:t>
      </w:r>
      <w:r w:rsidRPr="002568A7">
        <w:rPr>
          <w:rFonts w:cs="Arial"/>
          <w:snapToGrid w:val="0"/>
          <w:sz w:val="20"/>
        </w:rPr>
        <w:t>ajno</w:t>
      </w:r>
      <w:r w:rsidRPr="00181953">
        <w:rPr>
          <w:rFonts w:cs="Arial"/>
          <w:snapToGrid w:val="0"/>
          <w:sz w:val="20"/>
          <w:lang w:val="hr-HR"/>
        </w:rPr>
        <w:t xml:space="preserve"> </w:t>
      </w:r>
      <w:r w:rsidRPr="002568A7">
        <w:rPr>
          <w:rFonts w:cs="Arial"/>
          <w:snapToGrid w:val="0"/>
          <w:sz w:val="20"/>
        </w:rPr>
        <w:t>utjecale</w:t>
      </w:r>
      <w:r w:rsidRPr="00181953">
        <w:rPr>
          <w:rFonts w:cs="Arial"/>
          <w:snapToGrid w:val="0"/>
          <w:sz w:val="20"/>
          <w:lang w:val="hr-HR"/>
        </w:rPr>
        <w:t xml:space="preserve"> </w:t>
      </w:r>
      <w:r w:rsidRPr="002568A7">
        <w:rPr>
          <w:rFonts w:cs="Arial"/>
          <w:snapToGrid w:val="0"/>
          <w:sz w:val="20"/>
        </w:rPr>
        <w:t>na</w:t>
      </w:r>
      <w:r w:rsidRPr="00181953">
        <w:rPr>
          <w:rFonts w:cs="Arial"/>
          <w:snapToGrid w:val="0"/>
          <w:sz w:val="20"/>
          <w:lang w:val="hr-HR"/>
        </w:rPr>
        <w:t xml:space="preserve"> </w:t>
      </w:r>
      <w:r w:rsidRPr="002568A7">
        <w:rPr>
          <w:rFonts w:cs="Arial"/>
          <w:snapToGrid w:val="0"/>
          <w:sz w:val="20"/>
        </w:rPr>
        <w:t>financ</w:t>
      </w:r>
      <w:r>
        <w:rPr>
          <w:rFonts w:cs="Arial"/>
          <w:snapToGrid w:val="0"/>
          <w:sz w:val="20"/>
        </w:rPr>
        <w:t>ijski</w:t>
      </w:r>
      <w:r w:rsidRPr="00181953">
        <w:rPr>
          <w:rFonts w:cs="Arial"/>
          <w:snapToGrid w:val="0"/>
          <w:sz w:val="20"/>
          <w:lang w:val="hr-HR"/>
        </w:rPr>
        <w:t xml:space="preserve"> </w:t>
      </w:r>
      <w:r>
        <w:rPr>
          <w:rFonts w:cs="Arial"/>
          <w:snapToGrid w:val="0"/>
          <w:sz w:val="20"/>
        </w:rPr>
        <w:t>polo</w:t>
      </w:r>
      <w:r w:rsidRPr="00181953">
        <w:rPr>
          <w:rFonts w:cs="Arial"/>
          <w:snapToGrid w:val="0"/>
          <w:sz w:val="20"/>
          <w:lang w:val="hr-HR"/>
        </w:rPr>
        <w:t>ž</w:t>
      </w:r>
      <w:r>
        <w:rPr>
          <w:rFonts w:cs="Arial"/>
          <w:snapToGrid w:val="0"/>
          <w:sz w:val="20"/>
        </w:rPr>
        <w:t>aj</w:t>
      </w:r>
      <w:r w:rsidRPr="00181953">
        <w:rPr>
          <w:rFonts w:cs="Arial"/>
          <w:snapToGrid w:val="0"/>
          <w:sz w:val="20"/>
          <w:lang w:val="hr-HR"/>
        </w:rPr>
        <w:t xml:space="preserve"> </w:t>
      </w:r>
      <w:r>
        <w:rPr>
          <w:rFonts w:cs="Arial"/>
          <w:snapToGrid w:val="0"/>
          <w:sz w:val="20"/>
        </w:rPr>
        <w:t>i</w:t>
      </w:r>
      <w:r w:rsidRPr="00181953">
        <w:rPr>
          <w:rFonts w:cs="Arial"/>
          <w:snapToGrid w:val="0"/>
          <w:sz w:val="20"/>
          <w:lang w:val="hr-HR"/>
        </w:rPr>
        <w:t xml:space="preserve"> </w:t>
      </w:r>
      <w:r>
        <w:rPr>
          <w:rFonts w:cs="Arial"/>
          <w:snapToGrid w:val="0"/>
          <w:sz w:val="20"/>
        </w:rPr>
        <w:t>poslovanje</w:t>
      </w:r>
      <w:r w:rsidRPr="00181953">
        <w:rPr>
          <w:rFonts w:cs="Arial"/>
          <w:snapToGrid w:val="0"/>
          <w:sz w:val="20"/>
          <w:lang w:val="hr-HR"/>
        </w:rPr>
        <w:t xml:space="preserve"> </w:t>
      </w:r>
      <w:r>
        <w:rPr>
          <w:rFonts w:cs="Arial"/>
          <w:snapToGrid w:val="0"/>
          <w:sz w:val="20"/>
        </w:rPr>
        <w:t>Dru</w:t>
      </w:r>
      <w:r w:rsidRPr="00181953">
        <w:rPr>
          <w:rFonts w:cs="Arial"/>
          <w:snapToGrid w:val="0"/>
          <w:sz w:val="20"/>
          <w:lang w:val="hr-HR"/>
        </w:rPr>
        <w:t>š</w:t>
      </w:r>
      <w:r>
        <w:rPr>
          <w:rFonts w:cs="Arial"/>
          <w:snapToGrid w:val="0"/>
          <w:sz w:val="20"/>
        </w:rPr>
        <w:t>tva</w:t>
      </w:r>
      <w:r w:rsidRPr="00181953">
        <w:rPr>
          <w:rFonts w:cs="Arial"/>
          <w:snapToGrid w:val="0"/>
          <w:sz w:val="20"/>
          <w:lang w:val="hr-HR"/>
        </w:rPr>
        <w:t>.</w:t>
      </w:r>
    </w:p>
    <w:p w:rsidR="003E4626" w:rsidRPr="00181953" w:rsidRDefault="003E4626" w:rsidP="00BA5338">
      <w:pPr>
        <w:pStyle w:val="T10"/>
        <w:rPr>
          <w:rFonts w:cs="Arial"/>
          <w:snapToGrid w:val="0"/>
          <w:sz w:val="20"/>
          <w:lang w:val="hr-HR"/>
        </w:rPr>
      </w:pPr>
      <w:r>
        <w:rPr>
          <w:rFonts w:cs="Arial"/>
          <w:snapToGrid w:val="0"/>
          <w:sz w:val="20"/>
        </w:rPr>
        <w:t>U</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181953">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181953">
        <w:rPr>
          <w:rFonts w:cs="Arial"/>
          <w:snapToGrid w:val="0"/>
          <w:sz w:val="20"/>
          <w:lang w:val="hr-HR"/>
        </w:rPr>
        <w:t xml:space="preserve">. </w:t>
      </w:r>
      <w:r w:rsidRPr="002568A7">
        <w:rPr>
          <w:rFonts w:cs="Arial"/>
          <w:snapToGrid w:val="0"/>
          <w:sz w:val="20"/>
        </w:rPr>
        <w:t>godine</w:t>
      </w:r>
      <w:r w:rsidRPr="00181953">
        <w:rPr>
          <w:rFonts w:cs="Arial"/>
          <w:snapToGrid w:val="0"/>
          <w:sz w:val="20"/>
          <w:lang w:val="hr-HR"/>
        </w:rPr>
        <w:t xml:space="preserve"> </w:t>
      </w:r>
      <w:r w:rsidRPr="002568A7">
        <w:rPr>
          <w:rFonts w:cs="Arial"/>
          <w:snapToGrid w:val="0"/>
          <w:sz w:val="20"/>
        </w:rPr>
        <w:t>nije</w:t>
      </w:r>
      <w:r w:rsidRPr="00181953">
        <w:rPr>
          <w:rFonts w:cs="Arial"/>
          <w:snapToGrid w:val="0"/>
          <w:sz w:val="20"/>
          <w:lang w:val="hr-HR"/>
        </w:rPr>
        <w:t xml:space="preserve"> </w:t>
      </w:r>
      <w:r w:rsidRPr="002568A7">
        <w:rPr>
          <w:rFonts w:cs="Arial"/>
          <w:snapToGrid w:val="0"/>
          <w:sz w:val="20"/>
        </w:rPr>
        <w:t>bilo</w:t>
      </w:r>
      <w:r w:rsidRPr="00181953">
        <w:rPr>
          <w:rFonts w:cs="Arial"/>
          <w:snapToGrid w:val="0"/>
          <w:sz w:val="20"/>
          <w:lang w:val="hr-HR"/>
        </w:rPr>
        <w:t xml:space="preserve"> </w:t>
      </w:r>
      <w:r w:rsidRPr="002568A7">
        <w:rPr>
          <w:rFonts w:cs="Arial"/>
          <w:snapToGrid w:val="0"/>
          <w:sz w:val="20"/>
        </w:rPr>
        <w:t>promjena</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transakcijama</w:t>
      </w:r>
      <w:r w:rsidRPr="00181953">
        <w:rPr>
          <w:rFonts w:cs="Arial"/>
          <w:snapToGrid w:val="0"/>
          <w:sz w:val="20"/>
          <w:lang w:val="hr-HR"/>
        </w:rPr>
        <w:t xml:space="preserve"> </w:t>
      </w:r>
      <w:r w:rsidRPr="002568A7">
        <w:rPr>
          <w:rFonts w:cs="Arial"/>
          <w:snapToGrid w:val="0"/>
          <w:sz w:val="20"/>
        </w:rPr>
        <w:t>izme</w:t>
      </w:r>
      <w:r w:rsidRPr="00181953">
        <w:rPr>
          <w:rFonts w:cs="Arial"/>
          <w:snapToGrid w:val="0"/>
          <w:sz w:val="20"/>
          <w:lang w:val="hr-HR"/>
        </w:rPr>
        <w:t>đ</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povezanih</w:t>
      </w:r>
      <w:r w:rsidRPr="00181953">
        <w:rPr>
          <w:rFonts w:cs="Arial"/>
          <w:snapToGrid w:val="0"/>
          <w:sz w:val="20"/>
          <w:lang w:val="hr-HR"/>
        </w:rPr>
        <w:t xml:space="preserve"> </w:t>
      </w:r>
      <w:r w:rsidRPr="002568A7">
        <w:rPr>
          <w:rFonts w:cs="Arial"/>
          <w:snapToGrid w:val="0"/>
          <w:sz w:val="20"/>
        </w:rPr>
        <w:t>osoba</w:t>
      </w:r>
      <w:r w:rsidRPr="00181953">
        <w:rPr>
          <w:rFonts w:cs="Arial"/>
          <w:snapToGrid w:val="0"/>
          <w:sz w:val="20"/>
          <w:lang w:val="hr-HR"/>
        </w:rPr>
        <w:t xml:space="preserve"> </w:t>
      </w:r>
      <w:r w:rsidRPr="002568A7">
        <w:rPr>
          <w:rFonts w:cs="Arial"/>
          <w:snapToGrid w:val="0"/>
          <w:sz w:val="20"/>
        </w:rPr>
        <w:t>koje</w:t>
      </w:r>
      <w:r w:rsidRPr="00181953">
        <w:rPr>
          <w:rFonts w:cs="Arial"/>
          <w:snapToGrid w:val="0"/>
          <w:sz w:val="20"/>
          <w:lang w:val="hr-HR"/>
        </w:rPr>
        <w:t xml:space="preserve"> </w:t>
      </w:r>
      <w:r w:rsidRPr="002568A7">
        <w:rPr>
          <w:rFonts w:cs="Arial"/>
          <w:snapToGrid w:val="0"/>
          <w:sz w:val="20"/>
        </w:rPr>
        <w:t>su</w:t>
      </w:r>
      <w:r w:rsidRPr="00181953">
        <w:rPr>
          <w:rFonts w:cs="Arial"/>
          <w:snapToGrid w:val="0"/>
          <w:sz w:val="20"/>
          <w:lang w:val="hr-HR"/>
        </w:rPr>
        <w:t xml:space="preserve"> </w:t>
      </w:r>
      <w:r w:rsidRPr="002568A7">
        <w:rPr>
          <w:rFonts w:cs="Arial"/>
          <w:snapToGrid w:val="0"/>
          <w:sz w:val="20"/>
        </w:rPr>
        <w:t>navedene</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godi</w:t>
      </w:r>
      <w:r w:rsidRPr="00181953">
        <w:rPr>
          <w:rFonts w:cs="Arial"/>
          <w:snapToGrid w:val="0"/>
          <w:sz w:val="20"/>
          <w:lang w:val="hr-HR"/>
        </w:rPr>
        <w:t>š</w:t>
      </w:r>
      <w:r w:rsidRPr="002568A7">
        <w:rPr>
          <w:rFonts w:cs="Arial"/>
          <w:snapToGrid w:val="0"/>
          <w:sz w:val="20"/>
        </w:rPr>
        <w:t>nj</w:t>
      </w:r>
      <w:r>
        <w:rPr>
          <w:rFonts w:cs="Arial"/>
          <w:snapToGrid w:val="0"/>
          <w:sz w:val="20"/>
        </w:rPr>
        <w:t>em</w:t>
      </w:r>
      <w:r w:rsidRPr="00181953">
        <w:rPr>
          <w:rFonts w:cs="Arial"/>
          <w:snapToGrid w:val="0"/>
          <w:sz w:val="20"/>
          <w:lang w:val="hr-HR"/>
        </w:rPr>
        <w:t xml:space="preserve"> </w:t>
      </w:r>
      <w:r>
        <w:rPr>
          <w:rFonts w:cs="Arial"/>
          <w:snapToGrid w:val="0"/>
          <w:sz w:val="20"/>
        </w:rPr>
        <w:t>financijskom</w:t>
      </w:r>
      <w:r w:rsidRPr="00181953">
        <w:rPr>
          <w:rFonts w:cs="Arial"/>
          <w:snapToGrid w:val="0"/>
          <w:sz w:val="20"/>
          <w:lang w:val="hr-HR"/>
        </w:rPr>
        <w:t xml:space="preserve"> </w:t>
      </w:r>
      <w:r>
        <w:rPr>
          <w:rFonts w:cs="Arial"/>
          <w:snapToGrid w:val="0"/>
          <w:sz w:val="20"/>
        </w:rPr>
        <w:t>izvje</w:t>
      </w:r>
      <w:r w:rsidRPr="00181953">
        <w:rPr>
          <w:rFonts w:cs="Arial"/>
          <w:snapToGrid w:val="0"/>
          <w:sz w:val="20"/>
          <w:lang w:val="hr-HR"/>
        </w:rPr>
        <w:t>šć</w:t>
      </w:r>
      <w:r>
        <w:rPr>
          <w:rFonts w:cs="Arial"/>
          <w:snapToGrid w:val="0"/>
          <w:sz w:val="20"/>
        </w:rPr>
        <w:t>u</w:t>
      </w:r>
      <w:r w:rsidRPr="00181953">
        <w:rPr>
          <w:rFonts w:cs="Arial"/>
          <w:snapToGrid w:val="0"/>
          <w:sz w:val="20"/>
          <w:lang w:val="hr-HR"/>
        </w:rPr>
        <w:t xml:space="preserve"> </w:t>
      </w:r>
      <w:r>
        <w:rPr>
          <w:rFonts w:cs="Arial"/>
          <w:snapToGrid w:val="0"/>
          <w:sz w:val="20"/>
        </w:rPr>
        <w:t>za</w:t>
      </w:r>
      <w:r>
        <w:rPr>
          <w:rFonts w:cs="Arial"/>
          <w:snapToGrid w:val="0"/>
          <w:sz w:val="20"/>
          <w:lang w:val="hr-HR"/>
        </w:rPr>
        <w:t xml:space="preserve"> 2010</w:t>
      </w:r>
      <w:r w:rsidRPr="00181953">
        <w:rPr>
          <w:rFonts w:cs="Arial"/>
          <w:snapToGrid w:val="0"/>
          <w:sz w:val="20"/>
          <w:lang w:val="hr-HR"/>
        </w:rPr>
        <w:t xml:space="preserve">. </w:t>
      </w:r>
      <w:r w:rsidRPr="002568A7">
        <w:rPr>
          <w:rFonts w:cs="Arial"/>
          <w:snapToGrid w:val="0"/>
          <w:sz w:val="20"/>
        </w:rPr>
        <w:t>godinu</w:t>
      </w:r>
      <w:r w:rsidRPr="00181953">
        <w:rPr>
          <w:rFonts w:cs="Arial"/>
          <w:snapToGrid w:val="0"/>
          <w:sz w:val="20"/>
          <w:lang w:val="hr-HR"/>
        </w:rPr>
        <w:t xml:space="preserve">, </w:t>
      </w:r>
      <w:r w:rsidRPr="002568A7">
        <w:rPr>
          <w:rFonts w:cs="Arial"/>
          <w:snapToGrid w:val="0"/>
          <w:sz w:val="20"/>
        </w:rPr>
        <w:t>a</w:t>
      </w:r>
      <w:r w:rsidRPr="00181953">
        <w:rPr>
          <w:rFonts w:cs="Arial"/>
          <w:snapToGrid w:val="0"/>
          <w:sz w:val="20"/>
          <w:lang w:val="hr-HR"/>
        </w:rPr>
        <w:t xml:space="preserve"> </w:t>
      </w:r>
      <w:r w:rsidRPr="002568A7">
        <w:rPr>
          <w:rFonts w:cs="Arial"/>
          <w:snapToGrid w:val="0"/>
          <w:sz w:val="20"/>
        </w:rPr>
        <w:t>koje</w:t>
      </w:r>
      <w:r w:rsidRPr="00181953">
        <w:rPr>
          <w:rFonts w:cs="Arial"/>
          <w:snapToGrid w:val="0"/>
          <w:sz w:val="20"/>
          <w:lang w:val="hr-HR"/>
        </w:rPr>
        <w:t xml:space="preserve"> </w:t>
      </w:r>
      <w:r w:rsidRPr="002568A7">
        <w:rPr>
          <w:rFonts w:cs="Arial"/>
          <w:snapToGrid w:val="0"/>
          <w:sz w:val="20"/>
        </w:rPr>
        <w:t>su</w:t>
      </w:r>
      <w:r w:rsidRPr="00181953">
        <w:rPr>
          <w:rFonts w:cs="Arial"/>
          <w:snapToGrid w:val="0"/>
          <w:sz w:val="20"/>
          <w:lang w:val="hr-HR"/>
        </w:rPr>
        <w:t xml:space="preserve"> </w:t>
      </w:r>
      <w:r w:rsidRPr="002568A7">
        <w:rPr>
          <w:rFonts w:cs="Arial"/>
          <w:snapToGrid w:val="0"/>
          <w:sz w:val="20"/>
        </w:rPr>
        <w:t>zna</w:t>
      </w:r>
      <w:r w:rsidRPr="00181953">
        <w:rPr>
          <w:rFonts w:cs="Arial"/>
          <w:snapToGrid w:val="0"/>
          <w:sz w:val="20"/>
          <w:lang w:val="hr-HR"/>
        </w:rPr>
        <w:t>č</w:t>
      </w:r>
      <w:r w:rsidRPr="002568A7">
        <w:rPr>
          <w:rFonts w:cs="Arial"/>
          <w:snapToGrid w:val="0"/>
          <w:sz w:val="20"/>
        </w:rPr>
        <w:t>ajno</w:t>
      </w:r>
      <w:r w:rsidRPr="00181953">
        <w:rPr>
          <w:rFonts w:cs="Arial"/>
          <w:snapToGrid w:val="0"/>
          <w:sz w:val="20"/>
          <w:lang w:val="hr-HR"/>
        </w:rPr>
        <w:t xml:space="preserve"> </w:t>
      </w:r>
      <w:r w:rsidRPr="002568A7">
        <w:rPr>
          <w:rFonts w:cs="Arial"/>
          <w:snapToGrid w:val="0"/>
          <w:sz w:val="20"/>
        </w:rPr>
        <w:t>utjecale</w:t>
      </w:r>
      <w:r w:rsidRPr="00181953">
        <w:rPr>
          <w:rFonts w:cs="Arial"/>
          <w:snapToGrid w:val="0"/>
          <w:sz w:val="20"/>
          <w:lang w:val="hr-HR"/>
        </w:rPr>
        <w:t xml:space="preserve"> </w:t>
      </w:r>
      <w:r w:rsidRPr="002568A7">
        <w:rPr>
          <w:rFonts w:cs="Arial"/>
          <w:snapToGrid w:val="0"/>
          <w:sz w:val="20"/>
        </w:rPr>
        <w:t>na</w:t>
      </w:r>
      <w:r w:rsidRPr="00181953">
        <w:rPr>
          <w:rFonts w:cs="Arial"/>
          <w:snapToGrid w:val="0"/>
          <w:sz w:val="20"/>
          <w:lang w:val="hr-HR"/>
        </w:rPr>
        <w:t xml:space="preserve"> </w:t>
      </w:r>
      <w:r w:rsidRPr="002568A7">
        <w:rPr>
          <w:rFonts w:cs="Arial"/>
          <w:snapToGrid w:val="0"/>
          <w:sz w:val="20"/>
        </w:rPr>
        <w:t>financ</w:t>
      </w:r>
      <w:r>
        <w:rPr>
          <w:rFonts w:cs="Arial"/>
          <w:snapToGrid w:val="0"/>
          <w:sz w:val="20"/>
        </w:rPr>
        <w:t>ijski</w:t>
      </w:r>
      <w:r w:rsidRPr="00181953">
        <w:rPr>
          <w:rFonts w:cs="Arial"/>
          <w:snapToGrid w:val="0"/>
          <w:sz w:val="20"/>
          <w:lang w:val="hr-HR"/>
        </w:rPr>
        <w:t xml:space="preserve"> </w:t>
      </w:r>
      <w:r>
        <w:rPr>
          <w:rFonts w:cs="Arial"/>
          <w:snapToGrid w:val="0"/>
          <w:sz w:val="20"/>
        </w:rPr>
        <w:t>polo</w:t>
      </w:r>
      <w:r w:rsidRPr="00181953">
        <w:rPr>
          <w:rFonts w:cs="Arial"/>
          <w:snapToGrid w:val="0"/>
          <w:sz w:val="20"/>
          <w:lang w:val="hr-HR"/>
        </w:rPr>
        <w:t>ž</w:t>
      </w:r>
      <w:r>
        <w:rPr>
          <w:rFonts w:cs="Arial"/>
          <w:snapToGrid w:val="0"/>
          <w:sz w:val="20"/>
        </w:rPr>
        <w:t>aj</w:t>
      </w:r>
      <w:r w:rsidRPr="00181953">
        <w:rPr>
          <w:rFonts w:cs="Arial"/>
          <w:snapToGrid w:val="0"/>
          <w:sz w:val="20"/>
          <w:lang w:val="hr-HR"/>
        </w:rPr>
        <w:t xml:space="preserve"> </w:t>
      </w:r>
      <w:r>
        <w:rPr>
          <w:rFonts w:cs="Arial"/>
          <w:snapToGrid w:val="0"/>
          <w:sz w:val="20"/>
        </w:rPr>
        <w:t>i</w:t>
      </w:r>
      <w:r w:rsidRPr="00181953">
        <w:rPr>
          <w:rFonts w:cs="Arial"/>
          <w:snapToGrid w:val="0"/>
          <w:sz w:val="20"/>
          <w:lang w:val="hr-HR"/>
        </w:rPr>
        <w:t xml:space="preserve"> </w:t>
      </w:r>
      <w:r>
        <w:rPr>
          <w:rFonts w:cs="Arial"/>
          <w:snapToGrid w:val="0"/>
          <w:sz w:val="20"/>
        </w:rPr>
        <w:t>poslovanje</w:t>
      </w:r>
      <w:r w:rsidRPr="00181953">
        <w:rPr>
          <w:rFonts w:cs="Arial"/>
          <w:snapToGrid w:val="0"/>
          <w:sz w:val="20"/>
          <w:lang w:val="hr-HR"/>
        </w:rPr>
        <w:t xml:space="preserve"> </w:t>
      </w:r>
      <w:r>
        <w:rPr>
          <w:rFonts w:cs="Arial"/>
          <w:snapToGrid w:val="0"/>
          <w:sz w:val="20"/>
        </w:rPr>
        <w:t>Dru</w:t>
      </w:r>
      <w:r w:rsidRPr="00181953">
        <w:rPr>
          <w:rFonts w:cs="Arial"/>
          <w:snapToGrid w:val="0"/>
          <w:sz w:val="20"/>
          <w:lang w:val="hr-HR"/>
        </w:rPr>
        <w:t>š</w:t>
      </w:r>
      <w:r>
        <w:rPr>
          <w:rFonts w:cs="Arial"/>
          <w:snapToGrid w:val="0"/>
          <w:sz w:val="20"/>
        </w:rPr>
        <w:t>tva</w:t>
      </w:r>
      <w:r w:rsidRPr="00181953">
        <w:rPr>
          <w:rFonts w:cs="Arial"/>
          <w:snapToGrid w:val="0"/>
          <w:sz w:val="20"/>
          <w:lang w:val="hr-HR"/>
        </w:rPr>
        <w:t xml:space="preserve"> </w:t>
      </w:r>
      <w:r>
        <w:rPr>
          <w:rFonts w:cs="Arial"/>
          <w:snapToGrid w:val="0"/>
          <w:sz w:val="20"/>
        </w:rPr>
        <w:t>u</w:t>
      </w:r>
      <w:r w:rsidRPr="00181953">
        <w:rPr>
          <w:rFonts w:cs="Arial"/>
          <w:snapToGrid w:val="0"/>
          <w:sz w:val="20"/>
          <w:lang w:val="hr-HR"/>
        </w:rPr>
        <w:t xml:space="preserve"> </w:t>
      </w:r>
      <w:r>
        <w:rPr>
          <w:rFonts w:cs="Arial"/>
          <w:snapToGrid w:val="0"/>
          <w:sz w:val="20"/>
        </w:rPr>
        <w:t>prvih</w:t>
      </w:r>
      <w:r w:rsidRPr="00AC639F">
        <w:rPr>
          <w:rFonts w:cs="Arial"/>
          <w:snapToGrid w:val="0"/>
          <w:sz w:val="20"/>
          <w:lang w:val="hr-HR"/>
        </w:rPr>
        <w:t xml:space="preserve"> </w:t>
      </w:r>
      <w:r>
        <w:rPr>
          <w:rFonts w:cs="Arial"/>
          <w:snapToGrid w:val="0"/>
          <w:sz w:val="20"/>
        </w:rPr>
        <w:t>devet</w:t>
      </w:r>
      <w:r w:rsidRPr="00181953">
        <w:rPr>
          <w:rFonts w:cs="Arial"/>
          <w:snapToGrid w:val="0"/>
          <w:sz w:val="20"/>
          <w:lang w:val="hr-HR"/>
        </w:rPr>
        <w:t xml:space="preserve"> </w:t>
      </w:r>
      <w:r>
        <w:rPr>
          <w:rFonts w:cs="Arial"/>
          <w:snapToGrid w:val="0"/>
          <w:sz w:val="20"/>
        </w:rPr>
        <w:t>mjeseca</w:t>
      </w:r>
      <w:r>
        <w:rPr>
          <w:rFonts w:cs="Arial"/>
          <w:snapToGrid w:val="0"/>
          <w:sz w:val="20"/>
          <w:lang w:val="hr-HR"/>
        </w:rPr>
        <w:t xml:space="preserve"> 2011</w:t>
      </w:r>
      <w:r w:rsidRPr="00181953">
        <w:rPr>
          <w:rFonts w:cs="Arial"/>
          <w:snapToGrid w:val="0"/>
          <w:sz w:val="20"/>
          <w:lang w:val="hr-HR"/>
        </w:rPr>
        <w:t xml:space="preserve">. </w:t>
      </w:r>
      <w:r w:rsidRPr="002568A7">
        <w:rPr>
          <w:rFonts w:cs="Arial"/>
          <w:snapToGrid w:val="0"/>
          <w:sz w:val="20"/>
        </w:rPr>
        <w:t>godine</w:t>
      </w:r>
      <w:r w:rsidRPr="00181953">
        <w:rPr>
          <w:rFonts w:cs="Arial"/>
          <w:snapToGrid w:val="0"/>
          <w:sz w:val="20"/>
          <w:lang w:val="hr-HR"/>
        </w:rPr>
        <w:t>.</w:t>
      </w:r>
    </w:p>
    <w:p w:rsidR="003E4626" w:rsidRPr="00181953" w:rsidRDefault="003E4626" w:rsidP="00BA5338">
      <w:pPr>
        <w:pStyle w:val="T10"/>
        <w:rPr>
          <w:rFonts w:cs="Arial"/>
          <w:snapToGrid w:val="0"/>
          <w:sz w:val="20"/>
          <w:lang w:val="hr-HR"/>
        </w:rPr>
      </w:pPr>
      <w:r>
        <w:rPr>
          <w:rFonts w:cs="Arial"/>
          <w:snapToGrid w:val="0"/>
          <w:sz w:val="20"/>
        </w:rPr>
        <w:t>Poslovni</w:t>
      </w:r>
      <w:r w:rsidRPr="00181953">
        <w:rPr>
          <w:rFonts w:cs="Arial"/>
          <w:snapToGrid w:val="0"/>
          <w:sz w:val="20"/>
          <w:lang w:val="hr-HR"/>
        </w:rPr>
        <w:t xml:space="preserve"> </w:t>
      </w:r>
      <w:r>
        <w:rPr>
          <w:rFonts w:cs="Arial"/>
          <w:snapToGrid w:val="0"/>
          <w:sz w:val="20"/>
        </w:rPr>
        <w:t>odnosi</w:t>
      </w:r>
      <w:r w:rsidRPr="00181953">
        <w:rPr>
          <w:rFonts w:cs="Arial"/>
          <w:snapToGrid w:val="0"/>
          <w:sz w:val="20"/>
          <w:lang w:val="hr-HR"/>
        </w:rPr>
        <w:t xml:space="preserve"> </w:t>
      </w:r>
      <w:r>
        <w:rPr>
          <w:rFonts w:cs="Arial"/>
          <w:snapToGrid w:val="0"/>
          <w:sz w:val="20"/>
        </w:rPr>
        <w:t>koje</w:t>
      </w:r>
      <w:r w:rsidRPr="00181953">
        <w:rPr>
          <w:rFonts w:cs="Arial"/>
          <w:snapToGrid w:val="0"/>
          <w:sz w:val="20"/>
          <w:lang w:val="hr-HR"/>
        </w:rPr>
        <w:t xml:space="preserve"> </w:t>
      </w:r>
      <w:r>
        <w:rPr>
          <w:rFonts w:cs="Arial"/>
          <w:snapToGrid w:val="0"/>
          <w:sz w:val="20"/>
        </w:rPr>
        <w:t>je</w:t>
      </w:r>
      <w:r w:rsidRPr="00181953">
        <w:rPr>
          <w:rFonts w:cs="Arial"/>
          <w:snapToGrid w:val="0"/>
          <w:sz w:val="20"/>
          <w:lang w:val="hr-HR"/>
        </w:rPr>
        <w:t xml:space="preserve"> </w:t>
      </w:r>
      <w:r w:rsidRPr="002568A7">
        <w:rPr>
          <w:rFonts w:cs="Arial"/>
          <w:snapToGrid w:val="0"/>
          <w:sz w:val="20"/>
        </w:rPr>
        <w:t>HT</w:t>
      </w:r>
      <w:r w:rsidRPr="00181953">
        <w:rPr>
          <w:rFonts w:cs="Arial"/>
          <w:snapToGrid w:val="0"/>
          <w:sz w:val="20"/>
          <w:lang w:val="hr-HR"/>
        </w:rPr>
        <w:t xml:space="preserve"> </w:t>
      </w:r>
      <w:r w:rsidRPr="002568A7">
        <w:rPr>
          <w:rFonts w:cs="Arial"/>
          <w:snapToGrid w:val="0"/>
          <w:sz w:val="20"/>
        </w:rPr>
        <w:t>d</w:t>
      </w:r>
      <w:r w:rsidRPr="00181953">
        <w:rPr>
          <w:rFonts w:cs="Arial"/>
          <w:snapToGrid w:val="0"/>
          <w:sz w:val="20"/>
          <w:lang w:val="hr-HR"/>
        </w:rPr>
        <w:t>.</w:t>
      </w:r>
      <w:r w:rsidRPr="002568A7">
        <w:rPr>
          <w:rFonts w:cs="Arial"/>
          <w:snapToGrid w:val="0"/>
          <w:sz w:val="20"/>
        </w:rPr>
        <w:t>d</w:t>
      </w:r>
      <w:r w:rsidRPr="00181953">
        <w:rPr>
          <w:rFonts w:cs="Arial"/>
          <w:snapToGrid w:val="0"/>
          <w:sz w:val="20"/>
          <w:lang w:val="hr-HR"/>
        </w:rPr>
        <w:t xml:space="preserve">. </w:t>
      </w:r>
      <w:r>
        <w:rPr>
          <w:rFonts w:cs="Arial"/>
          <w:snapToGrid w:val="0"/>
          <w:sz w:val="20"/>
        </w:rPr>
        <w:t>u</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181953">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181953">
        <w:rPr>
          <w:rFonts w:cs="Arial"/>
          <w:snapToGrid w:val="0"/>
          <w:sz w:val="20"/>
          <w:lang w:val="hr-HR"/>
        </w:rPr>
        <w:t xml:space="preserve">. </w:t>
      </w:r>
      <w:r>
        <w:rPr>
          <w:rFonts w:cs="Arial"/>
          <w:snapToGrid w:val="0"/>
          <w:sz w:val="20"/>
        </w:rPr>
        <w:t>godine</w:t>
      </w:r>
      <w:r w:rsidRPr="00181953">
        <w:rPr>
          <w:rFonts w:cs="Arial"/>
          <w:snapToGrid w:val="0"/>
          <w:sz w:val="20"/>
          <w:lang w:val="hr-HR"/>
        </w:rPr>
        <w:t xml:space="preserve"> </w:t>
      </w:r>
      <w:r>
        <w:rPr>
          <w:rFonts w:cs="Arial"/>
          <w:snapToGrid w:val="0"/>
          <w:sz w:val="20"/>
        </w:rPr>
        <w:t>poduzeo</w:t>
      </w:r>
      <w:r w:rsidRPr="00181953">
        <w:rPr>
          <w:rFonts w:cs="Arial"/>
          <w:snapToGrid w:val="0"/>
          <w:sz w:val="20"/>
          <w:lang w:val="hr-HR"/>
        </w:rPr>
        <w:t xml:space="preserve"> </w:t>
      </w:r>
      <w:r w:rsidRPr="002568A7">
        <w:rPr>
          <w:rFonts w:cs="Arial"/>
          <w:snapToGrid w:val="0"/>
          <w:sz w:val="20"/>
        </w:rPr>
        <w:t>s</w:t>
      </w:r>
      <w:r w:rsidRPr="00181953">
        <w:rPr>
          <w:rFonts w:cs="Arial"/>
          <w:snapToGrid w:val="0"/>
          <w:sz w:val="20"/>
          <w:lang w:val="hr-HR"/>
        </w:rPr>
        <w:t xml:space="preserve"> </w:t>
      </w:r>
      <w:r w:rsidRPr="002568A7">
        <w:rPr>
          <w:rFonts w:cs="Arial"/>
          <w:snapToGrid w:val="0"/>
          <w:sz w:val="20"/>
        </w:rPr>
        <w:t>vladaju</w:t>
      </w:r>
      <w:r w:rsidRPr="00181953">
        <w:rPr>
          <w:rFonts w:cs="Arial"/>
          <w:snapToGrid w:val="0"/>
          <w:sz w:val="20"/>
          <w:lang w:val="hr-HR"/>
        </w:rPr>
        <w:t>ć</w:t>
      </w:r>
      <w:r w:rsidRPr="002568A7">
        <w:rPr>
          <w:rFonts w:cs="Arial"/>
          <w:snapToGrid w:val="0"/>
          <w:sz w:val="20"/>
        </w:rPr>
        <w:t>im</w:t>
      </w:r>
      <w:r w:rsidRPr="00181953">
        <w:rPr>
          <w:rFonts w:cs="Arial"/>
          <w:snapToGrid w:val="0"/>
          <w:sz w:val="20"/>
          <w:lang w:val="hr-HR"/>
        </w:rPr>
        <w:t xml:space="preserve"> </w:t>
      </w:r>
      <w:r w:rsidRPr="002568A7">
        <w:rPr>
          <w:rFonts w:cs="Arial"/>
          <w:snapToGrid w:val="0"/>
          <w:sz w:val="20"/>
        </w:rPr>
        <w:t>i</w:t>
      </w:r>
      <w:r w:rsidRPr="00181953">
        <w:rPr>
          <w:rFonts w:cs="Arial"/>
          <w:snapToGrid w:val="0"/>
          <w:sz w:val="20"/>
          <w:lang w:val="hr-HR"/>
        </w:rPr>
        <w:t xml:space="preserve"> </w:t>
      </w:r>
      <w:r w:rsidRPr="002568A7">
        <w:rPr>
          <w:rFonts w:cs="Arial"/>
          <w:snapToGrid w:val="0"/>
          <w:sz w:val="20"/>
        </w:rPr>
        <w:t>njime</w:t>
      </w:r>
      <w:r w:rsidRPr="00181953">
        <w:rPr>
          <w:rFonts w:cs="Arial"/>
          <w:snapToGrid w:val="0"/>
          <w:sz w:val="20"/>
          <w:lang w:val="hr-HR"/>
        </w:rPr>
        <w:t xml:space="preserve"> </w:t>
      </w:r>
      <w:r w:rsidRPr="002568A7">
        <w:rPr>
          <w:rFonts w:cs="Arial"/>
          <w:snapToGrid w:val="0"/>
          <w:sz w:val="20"/>
        </w:rPr>
        <w:t>povezanim</w:t>
      </w:r>
      <w:r w:rsidRPr="00181953">
        <w:rPr>
          <w:rFonts w:cs="Arial"/>
          <w:snapToGrid w:val="0"/>
          <w:sz w:val="20"/>
          <w:lang w:val="hr-HR"/>
        </w:rPr>
        <w:t xml:space="preserve"> </w:t>
      </w:r>
      <w:r w:rsidRPr="002568A7">
        <w:rPr>
          <w:rFonts w:cs="Arial"/>
          <w:snapToGrid w:val="0"/>
          <w:sz w:val="20"/>
        </w:rPr>
        <w:t>dru</w:t>
      </w:r>
      <w:r w:rsidRPr="00181953">
        <w:rPr>
          <w:rFonts w:cs="Arial"/>
          <w:snapToGrid w:val="0"/>
          <w:sz w:val="20"/>
          <w:lang w:val="hr-HR"/>
        </w:rPr>
        <w:t>š</w:t>
      </w:r>
      <w:r w:rsidRPr="002568A7">
        <w:rPr>
          <w:rFonts w:cs="Arial"/>
          <w:snapToGrid w:val="0"/>
          <w:sz w:val="20"/>
        </w:rPr>
        <w:t>tvima</w:t>
      </w:r>
      <w:r w:rsidRPr="00181953">
        <w:rPr>
          <w:rFonts w:cs="Arial"/>
          <w:snapToGrid w:val="0"/>
          <w:sz w:val="20"/>
          <w:lang w:val="hr-HR"/>
        </w:rPr>
        <w:t xml:space="preserve"> </w:t>
      </w:r>
      <w:r w:rsidRPr="002568A7">
        <w:rPr>
          <w:rFonts w:cs="Arial"/>
          <w:snapToGrid w:val="0"/>
          <w:sz w:val="20"/>
        </w:rPr>
        <w:t>mogu</w:t>
      </w:r>
      <w:r w:rsidRPr="00181953">
        <w:rPr>
          <w:rFonts w:cs="Arial"/>
          <w:snapToGrid w:val="0"/>
          <w:sz w:val="20"/>
          <w:lang w:val="hr-HR"/>
        </w:rPr>
        <w:t xml:space="preserve"> </w:t>
      </w:r>
      <w:r w:rsidRPr="002568A7">
        <w:rPr>
          <w:rFonts w:cs="Arial"/>
          <w:snapToGrid w:val="0"/>
          <w:sz w:val="20"/>
        </w:rPr>
        <w:t>se</w:t>
      </w:r>
      <w:r w:rsidRPr="00181953">
        <w:rPr>
          <w:rFonts w:cs="Arial"/>
          <w:snapToGrid w:val="0"/>
          <w:sz w:val="20"/>
          <w:lang w:val="hr-HR"/>
        </w:rPr>
        <w:t xml:space="preserve"> </w:t>
      </w:r>
      <w:r w:rsidRPr="002568A7">
        <w:rPr>
          <w:rFonts w:cs="Arial"/>
          <w:snapToGrid w:val="0"/>
          <w:sz w:val="20"/>
        </w:rPr>
        <w:t>podijeliti</w:t>
      </w:r>
      <w:r w:rsidRPr="00181953">
        <w:rPr>
          <w:rFonts w:cs="Arial"/>
          <w:snapToGrid w:val="0"/>
          <w:sz w:val="20"/>
          <w:lang w:val="hr-HR"/>
        </w:rPr>
        <w:t xml:space="preserve"> </w:t>
      </w:r>
      <w:r w:rsidRPr="002568A7">
        <w:rPr>
          <w:rFonts w:cs="Arial"/>
          <w:snapToGrid w:val="0"/>
          <w:sz w:val="20"/>
        </w:rPr>
        <w:t>kako</w:t>
      </w:r>
      <w:r w:rsidRPr="00181953">
        <w:rPr>
          <w:rFonts w:cs="Arial"/>
          <w:snapToGrid w:val="0"/>
          <w:sz w:val="20"/>
          <w:lang w:val="hr-HR"/>
        </w:rPr>
        <w:t xml:space="preserve"> </w:t>
      </w:r>
      <w:r w:rsidRPr="002568A7">
        <w:rPr>
          <w:rFonts w:cs="Arial"/>
          <w:snapToGrid w:val="0"/>
          <w:sz w:val="20"/>
        </w:rPr>
        <w:t>slijedi</w:t>
      </w:r>
      <w:r w:rsidRPr="00181953">
        <w:rPr>
          <w:rFonts w:cs="Arial"/>
          <w:snapToGrid w:val="0"/>
          <w:sz w:val="20"/>
          <w:lang w:val="hr-HR"/>
        </w:rPr>
        <w:t>:</w:t>
      </w:r>
    </w:p>
    <w:p w:rsidR="003E4626" w:rsidRPr="002568A7" w:rsidRDefault="003E4626" w:rsidP="00BA5338">
      <w:pPr>
        <w:pStyle w:val="Lijevo"/>
        <w:tabs>
          <w:tab w:val="clear" w:pos="1588"/>
          <w:tab w:val="clear" w:pos="1814"/>
          <w:tab w:val="left" w:pos="5475"/>
        </w:tabs>
        <w:spacing w:before="100" w:beforeAutospacing="1" w:after="100" w:afterAutospacing="1" w:line="240" w:lineRule="exact"/>
        <w:ind w:firstLine="708"/>
        <w:jc w:val="both"/>
        <w:rPr>
          <w:rFonts w:ascii="Arial" w:hAnsi="Arial" w:cs="Arial"/>
          <w:i/>
          <w:color w:val="000000"/>
          <w:sz w:val="20"/>
          <w:szCs w:val="20"/>
        </w:rPr>
      </w:pPr>
      <w:r>
        <w:rPr>
          <w:rFonts w:ascii="Arial" w:hAnsi="Arial" w:cs="Arial"/>
          <w:i/>
          <w:color w:val="000000"/>
          <w:sz w:val="20"/>
          <w:szCs w:val="20"/>
        </w:rPr>
        <w:t>Transakcije s povezanim društvima</w:t>
      </w:r>
      <w:r>
        <w:rPr>
          <w:rFonts w:ascii="Arial" w:hAnsi="Arial" w:cs="Arial"/>
          <w:i/>
          <w:color w:val="000000"/>
          <w:sz w:val="20"/>
          <w:szCs w:val="20"/>
        </w:rPr>
        <w:tab/>
      </w:r>
    </w:p>
    <w:p w:rsidR="003E4626" w:rsidRPr="00181953" w:rsidRDefault="003E4626" w:rsidP="00BA5338">
      <w:pPr>
        <w:pStyle w:val="T10"/>
        <w:rPr>
          <w:rFonts w:cs="Arial"/>
          <w:snapToGrid w:val="0"/>
          <w:sz w:val="20"/>
          <w:lang w:val="hr-HR"/>
        </w:rPr>
      </w:pPr>
      <w:r w:rsidRPr="002568A7">
        <w:rPr>
          <w:rFonts w:cs="Arial"/>
          <w:snapToGrid w:val="0"/>
          <w:sz w:val="20"/>
        </w:rPr>
        <w:t>Poslovni</w:t>
      </w:r>
      <w:r w:rsidRPr="00181953">
        <w:rPr>
          <w:rFonts w:cs="Arial"/>
          <w:snapToGrid w:val="0"/>
          <w:sz w:val="20"/>
          <w:lang w:val="hr-HR"/>
        </w:rPr>
        <w:t xml:space="preserve"> </w:t>
      </w:r>
      <w:r w:rsidRPr="002568A7">
        <w:rPr>
          <w:rFonts w:cs="Arial"/>
          <w:snapToGrid w:val="0"/>
          <w:sz w:val="20"/>
        </w:rPr>
        <w:t>odnosi</w:t>
      </w:r>
      <w:r w:rsidRPr="00181953">
        <w:rPr>
          <w:rFonts w:cs="Arial"/>
          <w:snapToGrid w:val="0"/>
          <w:sz w:val="20"/>
          <w:lang w:val="hr-HR"/>
        </w:rPr>
        <w:t xml:space="preserve"> </w:t>
      </w:r>
      <w:r w:rsidRPr="002568A7">
        <w:rPr>
          <w:rFonts w:cs="Arial"/>
          <w:snapToGrid w:val="0"/>
          <w:sz w:val="20"/>
        </w:rPr>
        <w:t>s</w:t>
      </w:r>
      <w:r w:rsidRPr="00181953">
        <w:rPr>
          <w:rFonts w:cs="Arial"/>
          <w:snapToGrid w:val="0"/>
          <w:sz w:val="20"/>
          <w:lang w:val="hr-HR"/>
        </w:rPr>
        <w:t xml:space="preserve"> </w:t>
      </w:r>
      <w:r w:rsidRPr="002568A7">
        <w:rPr>
          <w:rFonts w:cs="Arial"/>
          <w:snapToGrid w:val="0"/>
          <w:sz w:val="20"/>
        </w:rPr>
        <w:t>povezanim</w:t>
      </w:r>
      <w:r w:rsidRPr="00181953">
        <w:rPr>
          <w:rFonts w:cs="Arial"/>
          <w:snapToGrid w:val="0"/>
          <w:sz w:val="20"/>
          <w:lang w:val="hr-HR"/>
        </w:rPr>
        <w:t xml:space="preserve"> </w:t>
      </w:r>
      <w:r w:rsidRPr="002568A7">
        <w:rPr>
          <w:rFonts w:cs="Arial"/>
          <w:snapToGrid w:val="0"/>
          <w:sz w:val="20"/>
        </w:rPr>
        <w:t>poduze</w:t>
      </w:r>
      <w:r w:rsidRPr="00181953">
        <w:rPr>
          <w:rFonts w:cs="Arial"/>
          <w:snapToGrid w:val="0"/>
          <w:sz w:val="20"/>
          <w:lang w:val="hr-HR"/>
        </w:rPr>
        <w:t>ć</w:t>
      </w:r>
      <w:r w:rsidRPr="002568A7">
        <w:rPr>
          <w:rFonts w:cs="Arial"/>
          <w:snapToGrid w:val="0"/>
          <w:sz w:val="20"/>
        </w:rPr>
        <w:t>ima</w:t>
      </w:r>
      <w:r w:rsidRPr="00181953">
        <w:rPr>
          <w:rFonts w:cs="Arial"/>
          <w:snapToGrid w:val="0"/>
          <w:sz w:val="20"/>
          <w:lang w:val="hr-HR"/>
        </w:rPr>
        <w:t xml:space="preserve"> </w:t>
      </w:r>
      <w:r w:rsidRPr="002568A7">
        <w:rPr>
          <w:rFonts w:cs="Arial"/>
          <w:snapToGrid w:val="0"/>
          <w:sz w:val="20"/>
        </w:rPr>
        <w:t>se</w:t>
      </w:r>
      <w:r w:rsidRPr="00181953">
        <w:rPr>
          <w:rFonts w:cs="Arial"/>
          <w:snapToGrid w:val="0"/>
          <w:sz w:val="20"/>
          <w:lang w:val="hr-HR"/>
        </w:rPr>
        <w:t xml:space="preserve"> </w:t>
      </w:r>
      <w:r w:rsidRPr="002568A7">
        <w:rPr>
          <w:rFonts w:cs="Arial"/>
          <w:snapToGrid w:val="0"/>
          <w:sz w:val="20"/>
        </w:rPr>
        <w:t>odnose</w:t>
      </w:r>
      <w:r w:rsidRPr="00181953">
        <w:rPr>
          <w:rFonts w:cs="Arial"/>
          <w:snapToGrid w:val="0"/>
          <w:sz w:val="20"/>
          <w:lang w:val="hr-HR"/>
        </w:rPr>
        <w:t xml:space="preserve"> </w:t>
      </w:r>
      <w:r w:rsidRPr="002568A7">
        <w:rPr>
          <w:rFonts w:cs="Arial"/>
          <w:snapToGrid w:val="0"/>
          <w:sz w:val="20"/>
        </w:rPr>
        <w:t>na</w:t>
      </w:r>
      <w:r w:rsidRPr="00181953">
        <w:rPr>
          <w:rFonts w:cs="Arial"/>
          <w:snapToGrid w:val="0"/>
          <w:sz w:val="20"/>
          <w:lang w:val="hr-HR"/>
        </w:rPr>
        <w:t xml:space="preserve"> </w:t>
      </w:r>
      <w:r w:rsidRPr="002568A7">
        <w:rPr>
          <w:rFonts w:cs="Arial"/>
          <w:snapToGrid w:val="0"/>
          <w:sz w:val="20"/>
        </w:rPr>
        <w:t>dru</w:t>
      </w:r>
      <w:r w:rsidRPr="00181953">
        <w:rPr>
          <w:rFonts w:cs="Arial"/>
          <w:snapToGrid w:val="0"/>
          <w:sz w:val="20"/>
          <w:lang w:val="hr-HR"/>
        </w:rPr>
        <w:t>š</w:t>
      </w:r>
      <w:r w:rsidRPr="002568A7">
        <w:rPr>
          <w:rFonts w:cs="Arial"/>
          <w:snapToGrid w:val="0"/>
          <w:sz w:val="20"/>
        </w:rPr>
        <w:t>tva</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vlasni</w:t>
      </w:r>
      <w:r w:rsidRPr="00181953">
        <w:rPr>
          <w:rFonts w:cs="Arial"/>
          <w:snapToGrid w:val="0"/>
          <w:sz w:val="20"/>
          <w:lang w:val="hr-HR"/>
        </w:rPr>
        <w:t>š</w:t>
      </w:r>
      <w:r w:rsidRPr="002568A7">
        <w:rPr>
          <w:rFonts w:cs="Arial"/>
          <w:snapToGrid w:val="0"/>
          <w:sz w:val="20"/>
        </w:rPr>
        <w:t>tvu</w:t>
      </w:r>
      <w:r w:rsidRPr="00181953">
        <w:rPr>
          <w:rFonts w:cs="Arial"/>
          <w:snapToGrid w:val="0"/>
          <w:sz w:val="20"/>
          <w:lang w:val="hr-HR"/>
        </w:rPr>
        <w:t xml:space="preserve"> </w:t>
      </w:r>
      <w:r w:rsidRPr="002568A7">
        <w:rPr>
          <w:rFonts w:cs="Arial"/>
          <w:snapToGrid w:val="0"/>
          <w:sz w:val="20"/>
        </w:rPr>
        <w:t>dru</w:t>
      </w:r>
      <w:r w:rsidRPr="00181953">
        <w:rPr>
          <w:rFonts w:cs="Arial"/>
          <w:snapToGrid w:val="0"/>
          <w:sz w:val="20"/>
          <w:lang w:val="hr-HR"/>
        </w:rPr>
        <w:t>š</w:t>
      </w:r>
      <w:r w:rsidRPr="002568A7">
        <w:rPr>
          <w:rFonts w:cs="Arial"/>
          <w:snapToGrid w:val="0"/>
          <w:sz w:val="20"/>
        </w:rPr>
        <w:t>tva</w:t>
      </w:r>
      <w:r w:rsidRPr="00181953">
        <w:rPr>
          <w:rFonts w:cs="Arial"/>
          <w:snapToGrid w:val="0"/>
          <w:sz w:val="20"/>
          <w:lang w:val="hr-HR"/>
        </w:rPr>
        <w:t xml:space="preserve"> </w:t>
      </w:r>
      <w:r w:rsidRPr="002568A7">
        <w:rPr>
          <w:rFonts w:cs="Arial"/>
          <w:snapToGrid w:val="0"/>
          <w:sz w:val="20"/>
        </w:rPr>
        <w:t>De</w:t>
      </w:r>
      <w:r>
        <w:rPr>
          <w:rFonts w:cs="Arial"/>
          <w:snapToGrid w:val="0"/>
          <w:sz w:val="20"/>
        </w:rPr>
        <w:t>utsche</w:t>
      </w:r>
      <w:r w:rsidRPr="00181953">
        <w:rPr>
          <w:rFonts w:cs="Arial"/>
          <w:snapToGrid w:val="0"/>
          <w:sz w:val="20"/>
          <w:lang w:val="hr-HR"/>
        </w:rPr>
        <w:t xml:space="preserve"> </w:t>
      </w:r>
      <w:r>
        <w:rPr>
          <w:rFonts w:cs="Arial"/>
          <w:snapToGrid w:val="0"/>
          <w:sz w:val="20"/>
        </w:rPr>
        <w:t>Telekom</w:t>
      </w:r>
      <w:r w:rsidRPr="00181953">
        <w:rPr>
          <w:rFonts w:cs="Arial"/>
          <w:snapToGrid w:val="0"/>
          <w:sz w:val="20"/>
          <w:lang w:val="hr-HR"/>
        </w:rPr>
        <w:t xml:space="preserve"> </w:t>
      </w:r>
      <w:r>
        <w:rPr>
          <w:rFonts w:cs="Arial"/>
          <w:snapToGrid w:val="0"/>
          <w:sz w:val="20"/>
        </w:rPr>
        <w:t>AG</w:t>
      </w:r>
      <w:r w:rsidRPr="00181953">
        <w:rPr>
          <w:rFonts w:cs="Arial"/>
          <w:snapToGrid w:val="0"/>
          <w:sz w:val="20"/>
          <w:lang w:val="hr-HR"/>
        </w:rPr>
        <w:t xml:space="preserve"> (</w:t>
      </w:r>
      <w:r>
        <w:rPr>
          <w:rFonts w:cs="Arial"/>
          <w:snapToGrid w:val="0"/>
          <w:sz w:val="20"/>
        </w:rPr>
        <w:t>DTAG</w:t>
      </w:r>
      <w:r w:rsidRPr="00181953">
        <w:rPr>
          <w:rFonts w:cs="Arial"/>
          <w:snapToGrid w:val="0"/>
          <w:sz w:val="20"/>
          <w:lang w:val="hr-HR"/>
        </w:rPr>
        <w:t xml:space="preserve">).  </w:t>
      </w:r>
      <w:r>
        <w:rPr>
          <w:rFonts w:cs="Arial"/>
          <w:snapToGrid w:val="0"/>
          <w:sz w:val="20"/>
        </w:rPr>
        <w:t>Dru</w:t>
      </w:r>
      <w:r w:rsidRPr="00181953">
        <w:rPr>
          <w:rFonts w:cs="Arial"/>
          <w:snapToGrid w:val="0"/>
          <w:sz w:val="20"/>
          <w:lang w:val="hr-HR"/>
        </w:rPr>
        <w:t>š</w:t>
      </w:r>
      <w:r>
        <w:rPr>
          <w:rFonts w:cs="Arial"/>
          <w:snapToGrid w:val="0"/>
          <w:sz w:val="20"/>
        </w:rPr>
        <w:t>tvo</w:t>
      </w:r>
      <w:r w:rsidRPr="00181953">
        <w:rPr>
          <w:rFonts w:cs="Arial"/>
          <w:snapToGrid w:val="0"/>
          <w:sz w:val="20"/>
          <w:lang w:val="hr-HR"/>
        </w:rPr>
        <w:t xml:space="preserve"> </w:t>
      </w:r>
      <w:r w:rsidRPr="002568A7">
        <w:rPr>
          <w:rFonts w:cs="Arial"/>
          <w:snapToGrid w:val="0"/>
          <w:sz w:val="20"/>
        </w:rPr>
        <w:t>ulazi</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poslovne</w:t>
      </w:r>
      <w:r w:rsidRPr="00181953">
        <w:rPr>
          <w:rFonts w:cs="Arial"/>
          <w:snapToGrid w:val="0"/>
          <w:sz w:val="20"/>
          <w:lang w:val="hr-HR"/>
        </w:rPr>
        <w:t xml:space="preserve"> </w:t>
      </w:r>
      <w:r w:rsidRPr="002568A7">
        <w:rPr>
          <w:rFonts w:cs="Arial"/>
          <w:snapToGrid w:val="0"/>
          <w:sz w:val="20"/>
        </w:rPr>
        <w:t>odnose</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normalnom</w:t>
      </w:r>
      <w:r w:rsidRPr="00181953">
        <w:rPr>
          <w:rFonts w:cs="Arial"/>
          <w:snapToGrid w:val="0"/>
          <w:sz w:val="20"/>
          <w:lang w:val="hr-HR"/>
        </w:rPr>
        <w:t xml:space="preserve"> </w:t>
      </w:r>
      <w:r w:rsidRPr="002568A7">
        <w:rPr>
          <w:rFonts w:cs="Arial"/>
          <w:snapToGrid w:val="0"/>
          <w:sz w:val="20"/>
        </w:rPr>
        <w:t>tijeku</w:t>
      </w:r>
      <w:r w:rsidRPr="00181953">
        <w:rPr>
          <w:rFonts w:cs="Arial"/>
          <w:snapToGrid w:val="0"/>
          <w:sz w:val="20"/>
          <w:lang w:val="hr-HR"/>
        </w:rPr>
        <w:t xml:space="preserve"> </w:t>
      </w:r>
      <w:r w:rsidRPr="002568A7">
        <w:rPr>
          <w:rFonts w:cs="Arial"/>
          <w:snapToGrid w:val="0"/>
          <w:sz w:val="20"/>
        </w:rPr>
        <w:t>posla</w:t>
      </w:r>
      <w:r w:rsidRPr="00181953">
        <w:rPr>
          <w:rFonts w:cs="Arial"/>
          <w:snapToGrid w:val="0"/>
          <w:sz w:val="20"/>
          <w:lang w:val="hr-HR"/>
        </w:rPr>
        <w:t xml:space="preserve"> </w:t>
      </w:r>
      <w:r w:rsidRPr="002568A7">
        <w:rPr>
          <w:rFonts w:cs="Arial"/>
          <w:snapToGrid w:val="0"/>
          <w:sz w:val="20"/>
        </w:rPr>
        <w:t>po</w:t>
      </w:r>
      <w:r w:rsidRPr="00181953">
        <w:rPr>
          <w:rFonts w:cs="Arial"/>
          <w:snapToGrid w:val="0"/>
          <w:sz w:val="20"/>
          <w:lang w:val="hr-HR"/>
        </w:rPr>
        <w:t xml:space="preserve"> </w:t>
      </w:r>
      <w:r w:rsidRPr="002568A7">
        <w:rPr>
          <w:rFonts w:cs="Arial"/>
          <w:snapToGrid w:val="0"/>
          <w:sz w:val="20"/>
        </w:rPr>
        <w:t>uobi</w:t>
      </w:r>
      <w:r w:rsidRPr="00181953">
        <w:rPr>
          <w:rFonts w:cs="Arial"/>
          <w:snapToGrid w:val="0"/>
          <w:sz w:val="20"/>
          <w:lang w:val="hr-HR"/>
        </w:rPr>
        <w:t>č</w:t>
      </w:r>
      <w:r w:rsidRPr="002568A7">
        <w:rPr>
          <w:rFonts w:cs="Arial"/>
          <w:snapToGrid w:val="0"/>
          <w:sz w:val="20"/>
        </w:rPr>
        <w:t>ajenim</w:t>
      </w:r>
      <w:r w:rsidRPr="00181953">
        <w:rPr>
          <w:rFonts w:cs="Arial"/>
          <w:snapToGrid w:val="0"/>
          <w:sz w:val="20"/>
          <w:lang w:val="hr-HR"/>
        </w:rPr>
        <w:t xml:space="preserve"> </w:t>
      </w:r>
      <w:r w:rsidRPr="002568A7">
        <w:rPr>
          <w:rFonts w:cs="Arial"/>
          <w:snapToGrid w:val="0"/>
          <w:sz w:val="20"/>
        </w:rPr>
        <w:t>tr</w:t>
      </w:r>
      <w:r w:rsidRPr="00181953">
        <w:rPr>
          <w:rFonts w:cs="Arial"/>
          <w:snapToGrid w:val="0"/>
          <w:sz w:val="20"/>
          <w:lang w:val="hr-HR"/>
        </w:rPr>
        <w:t>ž</w:t>
      </w:r>
      <w:r w:rsidRPr="002568A7">
        <w:rPr>
          <w:rFonts w:cs="Arial"/>
          <w:snapToGrid w:val="0"/>
          <w:sz w:val="20"/>
        </w:rPr>
        <w:t>i</w:t>
      </w:r>
      <w:r w:rsidRPr="00181953">
        <w:rPr>
          <w:rFonts w:cs="Arial"/>
          <w:snapToGrid w:val="0"/>
          <w:sz w:val="20"/>
          <w:lang w:val="hr-HR"/>
        </w:rPr>
        <w:t>š</w:t>
      </w:r>
      <w:r w:rsidRPr="002568A7">
        <w:rPr>
          <w:rFonts w:cs="Arial"/>
          <w:snapToGrid w:val="0"/>
          <w:sz w:val="20"/>
        </w:rPr>
        <w:t>nim</w:t>
      </w:r>
      <w:r w:rsidRPr="00181953">
        <w:rPr>
          <w:rFonts w:cs="Arial"/>
          <w:snapToGrid w:val="0"/>
          <w:sz w:val="20"/>
          <w:lang w:val="hr-HR"/>
        </w:rPr>
        <w:t xml:space="preserve"> </w:t>
      </w:r>
      <w:r w:rsidRPr="002568A7">
        <w:rPr>
          <w:rFonts w:cs="Arial"/>
          <w:snapToGrid w:val="0"/>
          <w:sz w:val="20"/>
        </w:rPr>
        <w:t>uvjetima</w:t>
      </w:r>
      <w:r w:rsidRPr="00181953">
        <w:rPr>
          <w:rFonts w:cs="Arial"/>
          <w:snapToGrid w:val="0"/>
          <w:sz w:val="20"/>
          <w:lang w:val="hr-HR"/>
        </w:rPr>
        <w:t xml:space="preserve">.  </w:t>
      </w:r>
      <w:r w:rsidRPr="002568A7">
        <w:rPr>
          <w:rFonts w:cs="Arial"/>
          <w:snapToGrid w:val="0"/>
          <w:sz w:val="20"/>
        </w:rPr>
        <w:t>Ovi</w:t>
      </w:r>
      <w:r w:rsidRPr="00181953">
        <w:rPr>
          <w:rFonts w:cs="Arial"/>
          <w:snapToGrid w:val="0"/>
          <w:sz w:val="20"/>
          <w:lang w:val="hr-HR"/>
        </w:rPr>
        <w:t xml:space="preserve"> </w:t>
      </w:r>
      <w:r w:rsidRPr="002568A7">
        <w:rPr>
          <w:rFonts w:cs="Arial"/>
          <w:snapToGrid w:val="0"/>
          <w:sz w:val="20"/>
        </w:rPr>
        <w:t>poslovni</w:t>
      </w:r>
      <w:r w:rsidRPr="00181953">
        <w:rPr>
          <w:rFonts w:cs="Arial"/>
          <w:snapToGrid w:val="0"/>
          <w:sz w:val="20"/>
          <w:lang w:val="hr-HR"/>
        </w:rPr>
        <w:t xml:space="preserve"> </w:t>
      </w:r>
      <w:r w:rsidRPr="002568A7">
        <w:rPr>
          <w:rFonts w:cs="Arial"/>
          <w:snapToGrid w:val="0"/>
          <w:sz w:val="20"/>
        </w:rPr>
        <w:t>odnosi</w:t>
      </w:r>
      <w:r w:rsidRPr="00181953">
        <w:rPr>
          <w:rFonts w:cs="Arial"/>
          <w:snapToGrid w:val="0"/>
          <w:sz w:val="20"/>
          <w:lang w:val="hr-HR"/>
        </w:rPr>
        <w:t xml:space="preserve"> </w:t>
      </w:r>
      <w:r w:rsidRPr="002568A7">
        <w:rPr>
          <w:rFonts w:cs="Arial"/>
          <w:snapToGrid w:val="0"/>
          <w:sz w:val="20"/>
        </w:rPr>
        <w:t>uklju</w:t>
      </w:r>
      <w:r w:rsidRPr="00181953">
        <w:rPr>
          <w:rFonts w:cs="Arial"/>
          <w:snapToGrid w:val="0"/>
          <w:sz w:val="20"/>
          <w:lang w:val="hr-HR"/>
        </w:rPr>
        <w:t>č</w:t>
      </w:r>
      <w:r w:rsidRPr="002568A7">
        <w:rPr>
          <w:rFonts w:cs="Arial"/>
          <w:snapToGrid w:val="0"/>
          <w:sz w:val="20"/>
        </w:rPr>
        <w:t>uju</w:t>
      </w:r>
      <w:r w:rsidRPr="00181953">
        <w:rPr>
          <w:rFonts w:cs="Arial"/>
          <w:snapToGrid w:val="0"/>
          <w:sz w:val="20"/>
          <w:lang w:val="hr-HR"/>
        </w:rPr>
        <w:t xml:space="preserve"> </w:t>
      </w:r>
      <w:r w:rsidRPr="002568A7">
        <w:rPr>
          <w:rFonts w:cs="Arial"/>
          <w:snapToGrid w:val="0"/>
          <w:sz w:val="20"/>
        </w:rPr>
        <w:t>slanje</w:t>
      </w:r>
      <w:r w:rsidRPr="00181953">
        <w:rPr>
          <w:rFonts w:cs="Arial"/>
          <w:snapToGrid w:val="0"/>
          <w:sz w:val="20"/>
          <w:lang w:val="hr-HR"/>
        </w:rPr>
        <w:t xml:space="preserve"> </w:t>
      </w:r>
      <w:r w:rsidRPr="002568A7">
        <w:rPr>
          <w:rFonts w:cs="Arial"/>
          <w:snapToGrid w:val="0"/>
          <w:sz w:val="20"/>
        </w:rPr>
        <w:t>i</w:t>
      </w:r>
      <w:r w:rsidRPr="00181953">
        <w:rPr>
          <w:rFonts w:cs="Arial"/>
          <w:snapToGrid w:val="0"/>
          <w:sz w:val="20"/>
          <w:lang w:val="hr-HR"/>
        </w:rPr>
        <w:t xml:space="preserve"> </w:t>
      </w:r>
      <w:r w:rsidRPr="002568A7">
        <w:rPr>
          <w:rFonts w:cs="Arial"/>
          <w:snapToGrid w:val="0"/>
          <w:sz w:val="20"/>
        </w:rPr>
        <w:t>primanje</w:t>
      </w:r>
      <w:r w:rsidRPr="00181953">
        <w:rPr>
          <w:rFonts w:cs="Arial"/>
          <w:snapToGrid w:val="0"/>
          <w:sz w:val="20"/>
          <w:lang w:val="hr-HR"/>
        </w:rPr>
        <w:t xml:space="preserve"> </w:t>
      </w:r>
      <w:r w:rsidRPr="002568A7">
        <w:rPr>
          <w:rFonts w:cs="Arial"/>
          <w:snapToGrid w:val="0"/>
          <w:sz w:val="20"/>
        </w:rPr>
        <w:t>me</w:t>
      </w:r>
      <w:r w:rsidRPr="00181953">
        <w:rPr>
          <w:rFonts w:cs="Arial"/>
          <w:snapToGrid w:val="0"/>
          <w:sz w:val="20"/>
          <w:lang w:val="hr-HR"/>
        </w:rPr>
        <w:t>đ</w:t>
      </w:r>
      <w:r w:rsidRPr="002568A7">
        <w:rPr>
          <w:rFonts w:cs="Arial"/>
          <w:snapToGrid w:val="0"/>
          <w:sz w:val="20"/>
        </w:rPr>
        <w:t>unarodnog</w:t>
      </w:r>
      <w:r w:rsidRPr="00181953">
        <w:rPr>
          <w:rFonts w:cs="Arial"/>
          <w:snapToGrid w:val="0"/>
          <w:sz w:val="20"/>
          <w:lang w:val="hr-HR"/>
        </w:rPr>
        <w:t xml:space="preserve"> </w:t>
      </w:r>
      <w:r w:rsidRPr="002568A7">
        <w:rPr>
          <w:rFonts w:cs="Arial"/>
          <w:snapToGrid w:val="0"/>
          <w:sz w:val="20"/>
        </w:rPr>
        <w:t>prometa</w:t>
      </w:r>
      <w:r w:rsidRPr="00181953">
        <w:rPr>
          <w:rFonts w:cs="Arial"/>
          <w:snapToGrid w:val="0"/>
          <w:sz w:val="20"/>
          <w:lang w:val="hr-HR"/>
        </w:rPr>
        <w:t xml:space="preserve"> </w:t>
      </w:r>
      <w:r w:rsidRPr="002568A7">
        <w:rPr>
          <w:rFonts w:cs="Arial"/>
          <w:snapToGrid w:val="0"/>
          <w:sz w:val="20"/>
        </w:rPr>
        <w:t>prema</w:t>
      </w:r>
      <w:r w:rsidRPr="00181953">
        <w:rPr>
          <w:rFonts w:cs="Arial"/>
          <w:snapToGrid w:val="0"/>
          <w:sz w:val="20"/>
          <w:lang w:val="hr-HR"/>
        </w:rPr>
        <w:t xml:space="preserve"> </w:t>
      </w:r>
      <w:r w:rsidRPr="002568A7">
        <w:rPr>
          <w:rFonts w:cs="Arial"/>
          <w:snapToGrid w:val="0"/>
          <w:sz w:val="20"/>
        </w:rPr>
        <w:t>i</w:t>
      </w:r>
      <w:r w:rsidRPr="00181953">
        <w:rPr>
          <w:rFonts w:cs="Arial"/>
          <w:snapToGrid w:val="0"/>
          <w:sz w:val="20"/>
          <w:lang w:val="hr-HR"/>
        </w:rPr>
        <w:t xml:space="preserve"> </w:t>
      </w:r>
      <w:r w:rsidRPr="002568A7">
        <w:rPr>
          <w:rFonts w:cs="Arial"/>
          <w:snapToGrid w:val="0"/>
          <w:sz w:val="20"/>
        </w:rPr>
        <w:t>od</w:t>
      </w:r>
      <w:r w:rsidRPr="00181953">
        <w:rPr>
          <w:rFonts w:cs="Arial"/>
          <w:snapToGrid w:val="0"/>
          <w:sz w:val="20"/>
          <w:lang w:val="hr-HR"/>
        </w:rPr>
        <w:t xml:space="preserve"> </w:t>
      </w:r>
      <w:r w:rsidRPr="002568A7">
        <w:rPr>
          <w:rFonts w:cs="Arial"/>
          <w:snapToGrid w:val="0"/>
          <w:sz w:val="20"/>
        </w:rPr>
        <w:t>navedenih</w:t>
      </w:r>
      <w:r w:rsidRPr="00181953">
        <w:rPr>
          <w:rFonts w:cs="Arial"/>
          <w:snapToGrid w:val="0"/>
          <w:sz w:val="20"/>
          <w:lang w:val="hr-HR"/>
        </w:rPr>
        <w:t xml:space="preserve"> </w:t>
      </w:r>
      <w:r w:rsidRPr="002568A7">
        <w:rPr>
          <w:rFonts w:cs="Arial"/>
          <w:snapToGrid w:val="0"/>
          <w:sz w:val="20"/>
        </w:rPr>
        <w:t>dru</w:t>
      </w:r>
      <w:r w:rsidRPr="00181953">
        <w:rPr>
          <w:rFonts w:cs="Arial"/>
          <w:snapToGrid w:val="0"/>
          <w:sz w:val="20"/>
          <w:lang w:val="hr-HR"/>
        </w:rPr>
        <w:t>š</w:t>
      </w:r>
      <w:r w:rsidRPr="002568A7">
        <w:rPr>
          <w:rFonts w:cs="Arial"/>
          <w:snapToGrid w:val="0"/>
          <w:sz w:val="20"/>
        </w:rPr>
        <w:t>tava</w:t>
      </w:r>
      <w:r w:rsidRPr="00181953">
        <w:rPr>
          <w:rFonts w:cs="Arial"/>
          <w:snapToGrid w:val="0"/>
          <w:sz w:val="20"/>
          <w:lang w:val="hr-HR"/>
        </w:rPr>
        <w:t xml:space="preserve">. </w:t>
      </w:r>
    </w:p>
    <w:p w:rsidR="003E4626" w:rsidRPr="00181953" w:rsidRDefault="003E4626" w:rsidP="00BA5338">
      <w:pPr>
        <w:pStyle w:val="T10"/>
        <w:rPr>
          <w:rFonts w:cs="Arial"/>
          <w:snapToGrid w:val="0"/>
          <w:sz w:val="20"/>
          <w:lang w:val="hr-HR"/>
        </w:rPr>
      </w:pPr>
      <w:r>
        <w:rPr>
          <w:rFonts w:cs="Arial"/>
          <w:snapToGrid w:val="0"/>
          <w:sz w:val="20"/>
        </w:rPr>
        <w:t>U</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181953">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181953">
        <w:rPr>
          <w:rFonts w:cs="Arial"/>
          <w:snapToGrid w:val="0"/>
          <w:sz w:val="20"/>
          <w:lang w:val="hr-HR"/>
        </w:rPr>
        <w:t xml:space="preserve">. </w:t>
      </w:r>
      <w:r>
        <w:rPr>
          <w:rFonts w:cs="Arial"/>
          <w:snapToGrid w:val="0"/>
          <w:sz w:val="20"/>
        </w:rPr>
        <w:t>godine</w:t>
      </w:r>
      <w:r w:rsidRPr="00181953">
        <w:rPr>
          <w:rFonts w:cs="Arial"/>
          <w:snapToGrid w:val="0"/>
          <w:sz w:val="20"/>
          <w:lang w:val="hr-HR"/>
        </w:rPr>
        <w:t xml:space="preserve"> </w:t>
      </w:r>
      <w:r>
        <w:rPr>
          <w:rFonts w:cs="Arial"/>
          <w:snapToGrid w:val="0"/>
          <w:sz w:val="20"/>
        </w:rPr>
        <w:t>Dru</w:t>
      </w:r>
      <w:r w:rsidRPr="00181953">
        <w:rPr>
          <w:rFonts w:cs="Arial"/>
          <w:snapToGrid w:val="0"/>
          <w:sz w:val="20"/>
          <w:lang w:val="hr-HR"/>
        </w:rPr>
        <w:t>š</w:t>
      </w:r>
      <w:r>
        <w:rPr>
          <w:rFonts w:cs="Arial"/>
          <w:snapToGrid w:val="0"/>
          <w:sz w:val="20"/>
        </w:rPr>
        <w:t>tvo</w:t>
      </w:r>
      <w:r w:rsidRPr="00181953">
        <w:rPr>
          <w:rFonts w:cs="Arial"/>
          <w:snapToGrid w:val="0"/>
          <w:sz w:val="20"/>
          <w:lang w:val="hr-HR"/>
        </w:rPr>
        <w:t xml:space="preserve"> </w:t>
      </w:r>
      <w:r>
        <w:rPr>
          <w:rFonts w:cs="Arial"/>
          <w:snapToGrid w:val="0"/>
          <w:sz w:val="20"/>
        </w:rPr>
        <w:t>je</w:t>
      </w:r>
      <w:r w:rsidRPr="00181953">
        <w:rPr>
          <w:rFonts w:cs="Arial"/>
          <w:snapToGrid w:val="0"/>
          <w:sz w:val="20"/>
          <w:lang w:val="hr-HR"/>
        </w:rPr>
        <w:t xml:space="preserve"> </w:t>
      </w:r>
      <w:r>
        <w:rPr>
          <w:rFonts w:cs="Arial"/>
          <w:snapToGrid w:val="0"/>
          <w:sz w:val="20"/>
        </w:rPr>
        <w:t>ostvario</w:t>
      </w:r>
      <w:r w:rsidRPr="00181953">
        <w:rPr>
          <w:rFonts w:cs="Arial"/>
          <w:snapToGrid w:val="0"/>
          <w:sz w:val="20"/>
          <w:lang w:val="hr-HR"/>
        </w:rPr>
        <w:t xml:space="preserve"> </w:t>
      </w:r>
      <w:r w:rsidRPr="002568A7">
        <w:rPr>
          <w:rFonts w:cs="Arial"/>
          <w:snapToGrid w:val="0"/>
          <w:sz w:val="20"/>
        </w:rPr>
        <w:t>ukupne</w:t>
      </w:r>
      <w:r w:rsidRPr="00181953">
        <w:rPr>
          <w:rFonts w:cs="Arial"/>
          <w:snapToGrid w:val="0"/>
          <w:sz w:val="20"/>
          <w:lang w:val="hr-HR"/>
        </w:rPr>
        <w:t xml:space="preserve"> </w:t>
      </w:r>
      <w:r w:rsidRPr="002568A7">
        <w:rPr>
          <w:rFonts w:cs="Arial"/>
          <w:snapToGrid w:val="0"/>
          <w:sz w:val="20"/>
        </w:rPr>
        <w:t>prihode</w:t>
      </w:r>
      <w:r w:rsidRPr="00181953">
        <w:rPr>
          <w:rFonts w:cs="Arial"/>
          <w:snapToGrid w:val="0"/>
          <w:sz w:val="20"/>
          <w:lang w:val="hr-HR"/>
        </w:rPr>
        <w:t xml:space="preserve"> </w:t>
      </w:r>
      <w:r w:rsidRPr="002568A7">
        <w:rPr>
          <w:rFonts w:cs="Arial"/>
          <w:snapToGrid w:val="0"/>
          <w:sz w:val="20"/>
        </w:rPr>
        <w:t>od</w:t>
      </w:r>
      <w:r w:rsidRPr="00181953">
        <w:rPr>
          <w:rFonts w:cs="Arial"/>
          <w:snapToGrid w:val="0"/>
          <w:sz w:val="20"/>
          <w:lang w:val="hr-HR"/>
        </w:rPr>
        <w:t xml:space="preserve"> </w:t>
      </w:r>
      <w:r w:rsidRPr="002568A7">
        <w:rPr>
          <w:rFonts w:cs="Arial"/>
          <w:snapToGrid w:val="0"/>
          <w:sz w:val="20"/>
        </w:rPr>
        <w:t>povezanih</w:t>
      </w:r>
      <w:r w:rsidRPr="00181953">
        <w:rPr>
          <w:rFonts w:cs="Arial"/>
          <w:snapToGrid w:val="0"/>
          <w:sz w:val="20"/>
          <w:lang w:val="hr-HR"/>
        </w:rPr>
        <w:t xml:space="preserve"> </w:t>
      </w:r>
      <w:r w:rsidRPr="002568A7">
        <w:rPr>
          <w:rFonts w:cs="Arial"/>
          <w:snapToGrid w:val="0"/>
          <w:sz w:val="20"/>
        </w:rPr>
        <w:t>poduze</w:t>
      </w:r>
      <w:r w:rsidRPr="00181953">
        <w:rPr>
          <w:rFonts w:cs="Arial"/>
          <w:snapToGrid w:val="0"/>
          <w:sz w:val="20"/>
          <w:lang w:val="hr-HR"/>
        </w:rPr>
        <w:t>ć</w:t>
      </w:r>
      <w:r w:rsidRPr="002568A7">
        <w:rPr>
          <w:rFonts w:cs="Arial"/>
          <w:snapToGrid w:val="0"/>
          <w:sz w:val="20"/>
        </w:rPr>
        <w:t>a</w:t>
      </w:r>
      <w:r w:rsidRPr="00181953">
        <w:rPr>
          <w:rFonts w:cs="Arial"/>
          <w:snapToGrid w:val="0"/>
          <w:sz w:val="20"/>
          <w:lang w:val="hr-HR"/>
        </w:rPr>
        <w:t xml:space="preserve"> </w:t>
      </w:r>
      <w:r w:rsidRPr="002568A7">
        <w:rPr>
          <w:rFonts w:cs="Arial"/>
          <w:snapToGrid w:val="0"/>
          <w:sz w:val="20"/>
        </w:rPr>
        <w:t>od</w:t>
      </w:r>
      <w:r w:rsidRPr="00181953">
        <w:rPr>
          <w:rFonts w:cs="Arial"/>
          <w:snapToGrid w:val="0"/>
          <w:sz w:val="20"/>
          <w:lang w:val="hr-HR"/>
        </w:rPr>
        <w:t xml:space="preserve"> </w:t>
      </w:r>
      <w:r w:rsidRPr="002568A7">
        <w:rPr>
          <w:rFonts w:cs="Arial"/>
          <w:snapToGrid w:val="0"/>
          <w:sz w:val="20"/>
        </w:rPr>
        <w:t>me</w:t>
      </w:r>
      <w:r w:rsidRPr="00181953">
        <w:rPr>
          <w:rFonts w:cs="Arial"/>
          <w:snapToGrid w:val="0"/>
          <w:sz w:val="20"/>
          <w:lang w:val="hr-HR"/>
        </w:rPr>
        <w:t>đ</w:t>
      </w:r>
      <w:r w:rsidRPr="002568A7">
        <w:rPr>
          <w:rFonts w:cs="Arial"/>
          <w:snapToGrid w:val="0"/>
          <w:sz w:val="20"/>
        </w:rPr>
        <w:t>unarodnih</w:t>
      </w:r>
      <w:r w:rsidRPr="00181953">
        <w:rPr>
          <w:rFonts w:cs="Arial"/>
          <w:snapToGrid w:val="0"/>
          <w:sz w:val="20"/>
          <w:lang w:val="hr-HR"/>
        </w:rPr>
        <w:t xml:space="preserve"> </w:t>
      </w:r>
      <w:r w:rsidRPr="002568A7">
        <w:rPr>
          <w:rFonts w:cs="Arial"/>
          <w:snapToGrid w:val="0"/>
          <w:sz w:val="20"/>
        </w:rPr>
        <w:t>obra</w:t>
      </w:r>
      <w:r w:rsidRPr="00181953">
        <w:rPr>
          <w:rFonts w:cs="Arial"/>
          <w:snapToGrid w:val="0"/>
          <w:sz w:val="20"/>
          <w:lang w:val="hr-HR"/>
        </w:rPr>
        <w:t>č</w:t>
      </w:r>
      <w:r w:rsidRPr="002568A7">
        <w:rPr>
          <w:rFonts w:cs="Arial"/>
          <w:snapToGrid w:val="0"/>
          <w:sz w:val="20"/>
        </w:rPr>
        <w:t>u</w:t>
      </w:r>
      <w:r>
        <w:rPr>
          <w:rFonts w:cs="Arial"/>
          <w:snapToGrid w:val="0"/>
          <w:sz w:val="20"/>
        </w:rPr>
        <w:t>na</w:t>
      </w:r>
      <w:r w:rsidRPr="00181953">
        <w:rPr>
          <w:rFonts w:cs="Arial"/>
          <w:snapToGrid w:val="0"/>
          <w:sz w:val="20"/>
          <w:lang w:val="hr-HR"/>
        </w:rPr>
        <w:t xml:space="preserve"> </w:t>
      </w:r>
      <w:r>
        <w:rPr>
          <w:rFonts w:cs="Arial"/>
          <w:snapToGrid w:val="0"/>
          <w:sz w:val="20"/>
        </w:rPr>
        <w:t>u</w:t>
      </w:r>
      <w:r w:rsidRPr="00181953">
        <w:rPr>
          <w:rFonts w:cs="Arial"/>
          <w:snapToGrid w:val="0"/>
          <w:sz w:val="20"/>
          <w:lang w:val="hr-HR"/>
        </w:rPr>
        <w:t xml:space="preserve"> </w:t>
      </w:r>
      <w:r>
        <w:rPr>
          <w:rFonts w:cs="Arial"/>
          <w:snapToGrid w:val="0"/>
          <w:sz w:val="20"/>
        </w:rPr>
        <w:t>iznosu</w:t>
      </w:r>
      <w:r w:rsidRPr="00181953">
        <w:rPr>
          <w:rFonts w:cs="Arial"/>
          <w:snapToGrid w:val="0"/>
          <w:sz w:val="20"/>
          <w:lang w:val="hr-HR"/>
        </w:rPr>
        <w:t xml:space="preserve"> </w:t>
      </w:r>
      <w:r>
        <w:rPr>
          <w:rFonts w:cs="Arial"/>
          <w:snapToGrid w:val="0"/>
          <w:sz w:val="20"/>
        </w:rPr>
        <w:t>od</w:t>
      </w:r>
      <w:r>
        <w:rPr>
          <w:rFonts w:cs="Arial"/>
          <w:snapToGrid w:val="0"/>
          <w:sz w:val="20"/>
          <w:lang w:val="hr-HR"/>
        </w:rPr>
        <w:t xml:space="preserve"> 115</w:t>
      </w:r>
      <w:r w:rsidRPr="00181953">
        <w:rPr>
          <w:rFonts w:cs="Arial"/>
          <w:snapToGrid w:val="0"/>
          <w:sz w:val="20"/>
          <w:lang w:val="hr-HR"/>
        </w:rPr>
        <w:t xml:space="preserve"> </w:t>
      </w:r>
      <w:r>
        <w:rPr>
          <w:rFonts w:cs="Arial"/>
          <w:snapToGrid w:val="0"/>
          <w:sz w:val="20"/>
        </w:rPr>
        <w:t>milijun</w:t>
      </w:r>
      <w:r w:rsidRPr="00181953">
        <w:rPr>
          <w:rFonts w:cs="Arial"/>
          <w:snapToGrid w:val="0"/>
          <w:sz w:val="20"/>
          <w:lang w:val="hr-HR"/>
        </w:rPr>
        <w:t xml:space="preserve"> </w:t>
      </w:r>
      <w:r w:rsidRPr="002568A7">
        <w:rPr>
          <w:rFonts w:cs="Arial"/>
          <w:snapToGrid w:val="0"/>
          <w:sz w:val="20"/>
        </w:rPr>
        <w:t>kuna</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181953">
        <w:rPr>
          <w:rFonts w:cs="Arial"/>
          <w:snapToGrid w:val="0"/>
          <w:sz w:val="20"/>
          <w:lang w:val="hr-HR"/>
        </w:rPr>
        <w:t xml:space="preserve"> </w:t>
      </w:r>
      <w:r>
        <w:rPr>
          <w:rFonts w:cs="Arial"/>
          <w:snapToGrid w:val="0"/>
          <w:sz w:val="20"/>
        </w:rPr>
        <w:t>mjeseci</w:t>
      </w:r>
      <w:r>
        <w:rPr>
          <w:rFonts w:cs="Arial"/>
          <w:snapToGrid w:val="0"/>
          <w:sz w:val="20"/>
          <w:lang w:val="hr-HR"/>
        </w:rPr>
        <w:t xml:space="preserve"> 2010</w:t>
      </w:r>
      <w:r w:rsidRPr="00181953">
        <w:rPr>
          <w:rFonts w:cs="Arial"/>
          <w:snapToGrid w:val="0"/>
          <w:sz w:val="20"/>
          <w:lang w:val="hr-HR"/>
        </w:rPr>
        <w:t xml:space="preserve">. </w:t>
      </w:r>
      <w:r w:rsidRPr="002568A7">
        <w:rPr>
          <w:rFonts w:cs="Arial"/>
          <w:snapToGrid w:val="0"/>
          <w:sz w:val="20"/>
        </w:rPr>
        <w:t>g</w:t>
      </w:r>
      <w:r>
        <w:rPr>
          <w:rFonts w:cs="Arial"/>
          <w:snapToGrid w:val="0"/>
          <w:sz w:val="20"/>
        </w:rPr>
        <w:t>odine</w:t>
      </w:r>
      <w:r>
        <w:rPr>
          <w:rFonts w:cs="Arial"/>
          <w:snapToGrid w:val="0"/>
          <w:sz w:val="20"/>
          <w:lang w:val="hr-HR"/>
        </w:rPr>
        <w:t xml:space="preserve"> </w:t>
      </w:r>
      <w:r w:rsidRPr="00E675D5">
        <w:rPr>
          <w:rFonts w:cs="Arial"/>
          <w:snapToGrid w:val="0"/>
          <w:sz w:val="20"/>
          <w:lang w:val="hr-HR"/>
        </w:rPr>
        <w:t>131</w:t>
      </w:r>
      <w:r w:rsidRPr="00181953">
        <w:rPr>
          <w:rFonts w:cs="Arial"/>
          <w:snapToGrid w:val="0"/>
          <w:sz w:val="20"/>
          <w:lang w:val="hr-HR"/>
        </w:rPr>
        <w:t xml:space="preserve"> </w:t>
      </w:r>
      <w:r w:rsidRPr="002568A7">
        <w:rPr>
          <w:rFonts w:cs="Arial"/>
          <w:snapToGrid w:val="0"/>
          <w:sz w:val="20"/>
        </w:rPr>
        <w:t>milijuna</w:t>
      </w:r>
      <w:r w:rsidRPr="00181953">
        <w:rPr>
          <w:rFonts w:cs="Arial"/>
          <w:snapToGrid w:val="0"/>
          <w:sz w:val="20"/>
          <w:lang w:val="hr-HR"/>
        </w:rPr>
        <w:t xml:space="preserve"> </w:t>
      </w:r>
      <w:r w:rsidRPr="002568A7">
        <w:rPr>
          <w:rFonts w:cs="Arial"/>
          <w:snapToGrid w:val="0"/>
          <w:sz w:val="20"/>
        </w:rPr>
        <w:t>kuna</w:t>
      </w:r>
      <w:r w:rsidRPr="00181953">
        <w:rPr>
          <w:rFonts w:cs="Arial"/>
          <w:snapToGrid w:val="0"/>
          <w:sz w:val="20"/>
          <w:lang w:val="hr-HR"/>
        </w:rPr>
        <w:t xml:space="preserve">), </w:t>
      </w:r>
      <w:r w:rsidRPr="002568A7">
        <w:rPr>
          <w:rFonts w:cs="Arial"/>
          <w:snapToGrid w:val="0"/>
          <w:sz w:val="20"/>
        </w:rPr>
        <w:t>dok</w:t>
      </w:r>
      <w:r w:rsidRPr="00181953">
        <w:rPr>
          <w:rFonts w:cs="Arial"/>
          <w:snapToGrid w:val="0"/>
          <w:sz w:val="20"/>
          <w:lang w:val="hr-HR"/>
        </w:rPr>
        <w:t xml:space="preserve"> </w:t>
      </w:r>
      <w:r w:rsidRPr="002568A7">
        <w:rPr>
          <w:rFonts w:cs="Arial"/>
          <w:snapToGrid w:val="0"/>
          <w:sz w:val="20"/>
        </w:rPr>
        <w:t>su</w:t>
      </w:r>
      <w:r w:rsidRPr="00181953">
        <w:rPr>
          <w:rFonts w:cs="Arial"/>
          <w:snapToGrid w:val="0"/>
          <w:sz w:val="20"/>
          <w:lang w:val="hr-HR"/>
        </w:rPr>
        <w:t xml:space="preserve"> </w:t>
      </w:r>
      <w:r w:rsidRPr="002568A7">
        <w:rPr>
          <w:rFonts w:cs="Arial"/>
          <w:snapToGrid w:val="0"/>
          <w:sz w:val="20"/>
        </w:rPr>
        <w:t>ukupni</w:t>
      </w:r>
      <w:r w:rsidRPr="00181953">
        <w:rPr>
          <w:rFonts w:cs="Arial"/>
          <w:snapToGrid w:val="0"/>
          <w:sz w:val="20"/>
          <w:lang w:val="hr-HR"/>
        </w:rPr>
        <w:t xml:space="preserve"> </w:t>
      </w:r>
      <w:r w:rsidRPr="002568A7">
        <w:rPr>
          <w:rFonts w:cs="Arial"/>
          <w:snapToGrid w:val="0"/>
          <w:sz w:val="20"/>
        </w:rPr>
        <w:t>tro</w:t>
      </w:r>
      <w:r w:rsidRPr="00181953">
        <w:rPr>
          <w:rFonts w:cs="Arial"/>
          <w:snapToGrid w:val="0"/>
          <w:sz w:val="20"/>
          <w:lang w:val="hr-HR"/>
        </w:rPr>
        <w:t>š</w:t>
      </w:r>
      <w:r w:rsidRPr="002568A7">
        <w:rPr>
          <w:rFonts w:cs="Arial"/>
          <w:snapToGrid w:val="0"/>
          <w:sz w:val="20"/>
        </w:rPr>
        <w:t>kovi</w:t>
      </w:r>
      <w:r w:rsidRPr="00181953">
        <w:rPr>
          <w:rFonts w:cs="Arial"/>
          <w:snapToGrid w:val="0"/>
          <w:sz w:val="20"/>
          <w:lang w:val="hr-HR"/>
        </w:rPr>
        <w:t xml:space="preserve"> </w:t>
      </w:r>
      <w:r w:rsidRPr="002568A7">
        <w:rPr>
          <w:rFonts w:cs="Arial"/>
          <w:snapToGrid w:val="0"/>
          <w:sz w:val="20"/>
        </w:rPr>
        <w:t>od</w:t>
      </w:r>
      <w:r w:rsidRPr="00181953">
        <w:rPr>
          <w:rFonts w:cs="Arial"/>
          <w:snapToGrid w:val="0"/>
          <w:sz w:val="20"/>
          <w:lang w:val="hr-HR"/>
        </w:rPr>
        <w:t xml:space="preserve"> </w:t>
      </w:r>
      <w:r w:rsidRPr="002568A7">
        <w:rPr>
          <w:rFonts w:cs="Arial"/>
          <w:snapToGrid w:val="0"/>
          <w:sz w:val="20"/>
        </w:rPr>
        <w:t>me</w:t>
      </w:r>
      <w:r w:rsidRPr="00181953">
        <w:rPr>
          <w:rFonts w:cs="Arial"/>
          <w:snapToGrid w:val="0"/>
          <w:sz w:val="20"/>
          <w:lang w:val="hr-HR"/>
        </w:rPr>
        <w:t>đ</w:t>
      </w:r>
      <w:r>
        <w:rPr>
          <w:rFonts w:cs="Arial"/>
          <w:snapToGrid w:val="0"/>
          <w:sz w:val="20"/>
        </w:rPr>
        <w:t>unarodnog</w:t>
      </w:r>
      <w:r w:rsidRPr="00181953">
        <w:rPr>
          <w:rFonts w:cs="Arial"/>
          <w:snapToGrid w:val="0"/>
          <w:sz w:val="20"/>
          <w:lang w:val="hr-HR"/>
        </w:rPr>
        <w:t xml:space="preserve"> </w:t>
      </w:r>
      <w:r>
        <w:rPr>
          <w:rFonts w:cs="Arial"/>
          <w:snapToGrid w:val="0"/>
          <w:sz w:val="20"/>
        </w:rPr>
        <w:t>prometa</w:t>
      </w:r>
      <w:r w:rsidRPr="00181953">
        <w:rPr>
          <w:rFonts w:cs="Arial"/>
          <w:snapToGrid w:val="0"/>
          <w:sz w:val="20"/>
          <w:lang w:val="hr-HR"/>
        </w:rPr>
        <w:t xml:space="preserve"> </w:t>
      </w:r>
      <w:r>
        <w:rPr>
          <w:rFonts w:cs="Arial"/>
          <w:snapToGrid w:val="0"/>
          <w:sz w:val="20"/>
        </w:rPr>
        <w:t>iznosili</w:t>
      </w:r>
      <w:r>
        <w:rPr>
          <w:rFonts w:cs="Arial"/>
          <w:snapToGrid w:val="0"/>
          <w:sz w:val="20"/>
          <w:lang w:val="hr-HR"/>
        </w:rPr>
        <w:t xml:space="preserve"> 72</w:t>
      </w:r>
      <w:r w:rsidRPr="00181953">
        <w:rPr>
          <w:rFonts w:cs="Arial"/>
          <w:snapToGrid w:val="0"/>
          <w:sz w:val="20"/>
          <w:lang w:val="hr-HR"/>
        </w:rPr>
        <w:t xml:space="preserve"> </w:t>
      </w:r>
      <w:r w:rsidRPr="002568A7">
        <w:rPr>
          <w:rFonts w:cs="Arial"/>
          <w:snapToGrid w:val="0"/>
          <w:sz w:val="20"/>
        </w:rPr>
        <w:t>milijuna</w:t>
      </w:r>
      <w:r w:rsidRPr="00181953">
        <w:rPr>
          <w:rFonts w:cs="Arial"/>
          <w:snapToGrid w:val="0"/>
          <w:sz w:val="20"/>
          <w:lang w:val="hr-HR"/>
        </w:rPr>
        <w:t xml:space="preserve"> </w:t>
      </w:r>
      <w:r w:rsidRPr="002568A7">
        <w:rPr>
          <w:rFonts w:cs="Arial"/>
          <w:snapToGrid w:val="0"/>
          <w:sz w:val="20"/>
        </w:rPr>
        <w:t>kuna</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181953">
        <w:rPr>
          <w:rFonts w:cs="Arial"/>
          <w:snapToGrid w:val="0"/>
          <w:sz w:val="20"/>
          <w:lang w:val="hr-HR"/>
        </w:rPr>
        <w:t xml:space="preserve"> </w:t>
      </w:r>
      <w:r>
        <w:rPr>
          <w:rFonts w:cs="Arial"/>
          <w:snapToGrid w:val="0"/>
          <w:sz w:val="20"/>
        </w:rPr>
        <w:t>mjeseci</w:t>
      </w:r>
      <w:r>
        <w:rPr>
          <w:rFonts w:cs="Arial"/>
          <w:snapToGrid w:val="0"/>
          <w:sz w:val="20"/>
          <w:lang w:val="hr-HR"/>
        </w:rPr>
        <w:t xml:space="preserve"> 2010</w:t>
      </w:r>
      <w:r w:rsidRPr="00181953">
        <w:rPr>
          <w:rFonts w:cs="Arial"/>
          <w:snapToGrid w:val="0"/>
          <w:sz w:val="20"/>
          <w:lang w:val="hr-HR"/>
        </w:rPr>
        <w:t xml:space="preserve">. </w:t>
      </w:r>
      <w:r>
        <w:rPr>
          <w:rFonts w:cs="Arial"/>
          <w:snapToGrid w:val="0"/>
          <w:sz w:val="20"/>
        </w:rPr>
        <w:t>godine</w:t>
      </w:r>
      <w:r>
        <w:rPr>
          <w:rFonts w:cs="Arial"/>
          <w:snapToGrid w:val="0"/>
          <w:sz w:val="20"/>
          <w:lang w:val="hr-HR"/>
        </w:rPr>
        <w:t xml:space="preserve"> </w:t>
      </w:r>
      <w:r w:rsidRPr="00E675D5">
        <w:rPr>
          <w:rFonts w:cs="Arial"/>
          <w:snapToGrid w:val="0"/>
          <w:sz w:val="20"/>
          <w:lang w:val="hr-HR"/>
        </w:rPr>
        <w:t>95</w:t>
      </w:r>
      <w:r w:rsidRPr="00181953">
        <w:rPr>
          <w:rFonts w:cs="Arial"/>
          <w:snapToGrid w:val="0"/>
          <w:sz w:val="20"/>
          <w:lang w:val="hr-HR"/>
        </w:rPr>
        <w:t xml:space="preserve"> </w:t>
      </w:r>
      <w:r w:rsidRPr="002568A7">
        <w:rPr>
          <w:rFonts w:cs="Arial"/>
          <w:snapToGrid w:val="0"/>
          <w:sz w:val="20"/>
        </w:rPr>
        <w:t>milijuna</w:t>
      </w:r>
      <w:r w:rsidRPr="00181953">
        <w:rPr>
          <w:rFonts w:cs="Arial"/>
          <w:snapToGrid w:val="0"/>
          <w:sz w:val="20"/>
          <w:lang w:val="hr-HR"/>
        </w:rPr>
        <w:t xml:space="preserve"> </w:t>
      </w:r>
      <w:r w:rsidRPr="002568A7">
        <w:rPr>
          <w:rFonts w:cs="Arial"/>
          <w:snapToGrid w:val="0"/>
          <w:sz w:val="20"/>
        </w:rPr>
        <w:t>kuna</w:t>
      </w:r>
      <w:r w:rsidRPr="009A7B85">
        <w:rPr>
          <w:rFonts w:cs="Arial"/>
          <w:snapToGrid w:val="0"/>
          <w:sz w:val="20"/>
          <w:lang w:val="hr-HR"/>
        </w:rPr>
        <w:t>)</w:t>
      </w:r>
      <w:r w:rsidRPr="00181953">
        <w:rPr>
          <w:rFonts w:cs="Arial"/>
          <w:snapToGrid w:val="0"/>
          <w:sz w:val="20"/>
          <w:lang w:val="hr-HR"/>
        </w:rPr>
        <w:t>.</w:t>
      </w:r>
    </w:p>
    <w:p w:rsidR="003E4626" w:rsidRPr="00181953" w:rsidRDefault="003E4626" w:rsidP="00BA5338">
      <w:pPr>
        <w:pStyle w:val="T10"/>
        <w:rPr>
          <w:rFonts w:cs="Arial"/>
          <w:snapToGrid w:val="0"/>
          <w:sz w:val="20"/>
          <w:lang w:val="hr-HR"/>
        </w:rPr>
      </w:pPr>
      <w:r>
        <w:rPr>
          <w:rFonts w:cs="Arial"/>
          <w:snapToGrid w:val="0"/>
          <w:sz w:val="20"/>
        </w:rPr>
        <w:t>Dru</w:t>
      </w:r>
      <w:r w:rsidRPr="00181953">
        <w:rPr>
          <w:rFonts w:cs="Arial"/>
          <w:snapToGrid w:val="0"/>
          <w:sz w:val="20"/>
          <w:lang w:val="hr-HR"/>
        </w:rPr>
        <w:t>š</w:t>
      </w:r>
      <w:r>
        <w:rPr>
          <w:rFonts w:cs="Arial"/>
          <w:snapToGrid w:val="0"/>
          <w:sz w:val="20"/>
        </w:rPr>
        <w:t>tva</w:t>
      </w:r>
      <w:r w:rsidRPr="00181953">
        <w:rPr>
          <w:rFonts w:cs="Arial"/>
          <w:snapToGrid w:val="0"/>
          <w:sz w:val="20"/>
          <w:lang w:val="hr-HR"/>
        </w:rPr>
        <w:t xml:space="preserve"> </w:t>
      </w:r>
      <w:r>
        <w:rPr>
          <w:rFonts w:cs="Arial"/>
          <w:snapToGrid w:val="0"/>
          <w:sz w:val="20"/>
        </w:rPr>
        <w:t>DTAG</w:t>
      </w:r>
      <w:r w:rsidRPr="00181953">
        <w:rPr>
          <w:rFonts w:cs="Arial"/>
          <w:snapToGrid w:val="0"/>
          <w:sz w:val="20"/>
          <w:lang w:val="hr-HR"/>
        </w:rPr>
        <w:t>-</w:t>
      </w:r>
      <w:r>
        <w:rPr>
          <w:rFonts w:cs="Arial"/>
          <w:snapToGrid w:val="0"/>
          <w:sz w:val="20"/>
        </w:rPr>
        <w:t>a</w:t>
      </w:r>
      <w:r w:rsidRPr="00181953">
        <w:rPr>
          <w:rFonts w:cs="Arial"/>
          <w:snapToGrid w:val="0"/>
          <w:sz w:val="20"/>
          <w:lang w:val="hr-HR"/>
        </w:rPr>
        <w:t xml:space="preserve"> </w:t>
      </w:r>
      <w:r>
        <w:rPr>
          <w:rFonts w:cs="Arial"/>
          <w:snapToGrid w:val="0"/>
          <w:sz w:val="20"/>
        </w:rPr>
        <w:t>pru</w:t>
      </w:r>
      <w:r w:rsidRPr="00181953">
        <w:rPr>
          <w:rFonts w:cs="Arial"/>
          <w:snapToGrid w:val="0"/>
          <w:sz w:val="20"/>
          <w:lang w:val="hr-HR"/>
        </w:rPr>
        <w:t>ž</w:t>
      </w:r>
      <w:r>
        <w:rPr>
          <w:rFonts w:cs="Arial"/>
          <w:snapToGrid w:val="0"/>
          <w:sz w:val="20"/>
        </w:rPr>
        <w:t>ila</w:t>
      </w:r>
      <w:r w:rsidRPr="00181953">
        <w:rPr>
          <w:rFonts w:cs="Arial"/>
          <w:snapToGrid w:val="0"/>
          <w:sz w:val="20"/>
          <w:lang w:val="hr-HR"/>
        </w:rPr>
        <w:t xml:space="preserve"> </w:t>
      </w:r>
      <w:r>
        <w:rPr>
          <w:rFonts w:cs="Arial"/>
          <w:snapToGrid w:val="0"/>
          <w:sz w:val="20"/>
        </w:rPr>
        <w:t>su</w:t>
      </w:r>
      <w:r w:rsidRPr="00181953">
        <w:rPr>
          <w:rFonts w:cs="Arial"/>
          <w:snapToGrid w:val="0"/>
          <w:sz w:val="20"/>
          <w:lang w:val="hr-HR"/>
        </w:rPr>
        <w:t xml:space="preserve"> </w:t>
      </w:r>
      <w:r>
        <w:rPr>
          <w:rFonts w:cs="Arial"/>
          <w:snapToGrid w:val="0"/>
          <w:sz w:val="20"/>
        </w:rPr>
        <w:t>intelektualne</w:t>
      </w:r>
      <w:r w:rsidRPr="00181953">
        <w:rPr>
          <w:rFonts w:cs="Arial"/>
          <w:snapToGrid w:val="0"/>
          <w:sz w:val="20"/>
          <w:lang w:val="hr-HR"/>
        </w:rPr>
        <w:t xml:space="preserve"> </w:t>
      </w:r>
      <w:r>
        <w:rPr>
          <w:rFonts w:cs="Arial"/>
          <w:snapToGrid w:val="0"/>
          <w:sz w:val="20"/>
        </w:rPr>
        <w:t>usluge</w:t>
      </w:r>
      <w:r w:rsidRPr="00181953">
        <w:rPr>
          <w:rFonts w:cs="Arial"/>
          <w:snapToGrid w:val="0"/>
          <w:sz w:val="20"/>
          <w:lang w:val="hr-HR"/>
        </w:rPr>
        <w:t xml:space="preserve"> </w:t>
      </w:r>
      <w:r>
        <w:rPr>
          <w:rFonts w:cs="Arial"/>
          <w:snapToGrid w:val="0"/>
          <w:sz w:val="20"/>
        </w:rPr>
        <w:t>Dru</w:t>
      </w:r>
      <w:r w:rsidRPr="00181953">
        <w:rPr>
          <w:rFonts w:cs="Arial"/>
          <w:snapToGrid w:val="0"/>
          <w:sz w:val="20"/>
          <w:lang w:val="hr-HR"/>
        </w:rPr>
        <w:t>š</w:t>
      </w:r>
      <w:r>
        <w:rPr>
          <w:rFonts w:cs="Arial"/>
          <w:snapToGrid w:val="0"/>
          <w:sz w:val="20"/>
        </w:rPr>
        <w:t>tvu</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sidRPr="002568A7">
        <w:rPr>
          <w:rFonts w:cs="Arial"/>
          <w:snapToGrid w:val="0"/>
          <w:sz w:val="20"/>
        </w:rPr>
        <w:t>vrijednosti</w:t>
      </w:r>
      <w:r w:rsidRPr="00181953">
        <w:rPr>
          <w:rFonts w:cs="Arial"/>
          <w:snapToGrid w:val="0"/>
          <w:sz w:val="20"/>
          <w:lang w:val="hr-HR"/>
        </w:rPr>
        <w:t xml:space="preserve"> </w:t>
      </w:r>
      <w:r w:rsidRPr="002568A7">
        <w:rPr>
          <w:rFonts w:cs="Arial"/>
          <w:snapToGrid w:val="0"/>
          <w:sz w:val="20"/>
        </w:rPr>
        <w:t>od</w:t>
      </w:r>
      <w:r>
        <w:rPr>
          <w:rFonts w:cs="Arial"/>
          <w:snapToGrid w:val="0"/>
          <w:sz w:val="20"/>
          <w:lang w:val="hr-HR"/>
        </w:rPr>
        <w:t xml:space="preserve"> 7</w:t>
      </w:r>
      <w:r w:rsidRPr="00181953">
        <w:rPr>
          <w:rFonts w:cs="Arial"/>
          <w:snapToGrid w:val="0"/>
          <w:sz w:val="20"/>
          <w:lang w:val="hr-HR"/>
        </w:rPr>
        <w:t xml:space="preserve"> </w:t>
      </w:r>
      <w:r w:rsidRPr="002568A7">
        <w:rPr>
          <w:rFonts w:cs="Arial"/>
          <w:snapToGrid w:val="0"/>
          <w:sz w:val="20"/>
        </w:rPr>
        <w:t>milijuna</w:t>
      </w:r>
      <w:r w:rsidRPr="00181953">
        <w:rPr>
          <w:rFonts w:cs="Arial"/>
          <w:snapToGrid w:val="0"/>
          <w:sz w:val="20"/>
          <w:lang w:val="hr-HR"/>
        </w:rPr>
        <w:t xml:space="preserve"> </w:t>
      </w:r>
      <w:r w:rsidRPr="002568A7">
        <w:rPr>
          <w:rFonts w:cs="Arial"/>
          <w:snapToGrid w:val="0"/>
          <w:sz w:val="20"/>
        </w:rPr>
        <w:t>kuna</w:t>
      </w:r>
      <w:r w:rsidRPr="00181953">
        <w:rPr>
          <w:rFonts w:cs="Arial"/>
          <w:snapToGrid w:val="0"/>
          <w:sz w:val="20"/>
          <w:lang w:val="hr-HR"/>
        </w:rPr>
        <w:t xml:space="preserve"> </w:t>
      </w:r>
      <w:r w:rsidRPr="002568A7">
        <w:rPr>
          <w:rFonts w:cs="Arial"/>
          <w:snapToGrid w:val="0"/>
          <w:sz w:val="20"/>
        </w:rPr>
        <w:t>u</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090152">
        <w:rPr>
          <w:rFonts w:cs="Arial"/>
          <w:snapToGrid w:val="0"/>
          <w:sz w:val="20"/>
          <w:lang w:val="hr-HR"/>
        </w:rPr>
        <w:t xml:space="preserve"> </w:t>
      </w:r>
      <w:r>
        <w:rPr>
          <w:rFonts w:cs="Arial"/>
          <w:snapToGrid w:val="0"/>
          <w:sz w:val="20"/>
        </w:rPr>
        <w:t>mjeseci</w:t>
      </w:r>
      <w:r>
        <w:rPr>
          <w:rFonts w:cs="Arial"/>
          <w:snapToGrid w:val="0"/>
          <w:sz w:val="20"/>
          <w:lang w:val="hr-HR"/>
        </w:rPr>
        <w:t xml:space="preserve"> 2011</w:t>
      </w:r>
      <w:r w:rsidRPr="00181953">
        <w:rPr>
          <w:rFonts w:cs="Arial"/>
          <w:snapToGrid w:val="0"/>
          <w:sz w:val="20"/>
          <w:lang w:val="hr-HR"/>
        </w:rPr>
        <w:t xml:space="preserve">. </w:t>
      </w:r>
      <w:r w:rsidRPr="002568A7">
        <w:rPr>
          <w:rFonts w:cs="Arial"/>
          <w:snapToGrid w:val="0"/>
          <w:sz w:val="20"/>
        </w:rPr>
        <w:t>godine</w:t>
      </w:r>
      <w:r w:rsidRPr="00181953">
        <w:rPr>
          <w:rFonts w:cs="Arial"/>
          <w:snapToGrid w:val="0"/>
          <w:sz w:val="20"/>
          <w:lang w:val="hr-HR"/>
        </w:rPr>
        <w:t xml:space="preserve"> (</w:t>
      </w:r>
      <w:r>
        <w:rPr>
          <w:rFonts w:cs="Arial"/>
          <w:snapToGrid w:val="0"/>
          <w:sz w:val="20"/>
        </w:rPr>
        <w:t>prvih</w:t>
      </w:r>
      <w:r>
        <w:rPr>
          <w:rFonts w:cs="Arial"/>
          <w:snapToGrid w:val="0"/>
          <w:sz w:val="20"/>
          <w:lang w:val="hr-HR"/>
        </w:rPr>
        <w:t xml:space="preserve"> devet</w:t>
      </w:r>
      <w:r w:rsidRPr="00181953">
        <w:rPr>
          <w:rFonts w:cs="Arial"/>
          <w:snapToGrid w:val="0"/>
          <w:sz w:val="20"/>
          <w:lang w:val="hr-HR"/>
        </w:rPr>
        <w:t xml:space="preserve"> </w:t>
      </w:r>
      <w:r>
        <w:rPr>
          <w:rFonts w:cs="Arial"/>
          <w:snapToGrid w:val="0"/>
          <w:sz w:val="20"/>
        </w:rPr>
        <w:t>mjeseci</w:t>
      </w:r>
      <w:r>
        <w:rPr>
          <w:rFonts w:cs="Arial"/>
          <w:snapToGrid w:val="0"/>
          <w:sz w:val="20"/>
          <w:lang w:val="hr-HR"/>
        </w:rPr>
        <w:t xml:space="preserve"> 2010</w:t>
      </w:r>
      <w:r w:rsidRPr="00181953">
        <w:rPr>
          <w:rFonts w:cs="Arial"/>
          <w:snapToGrid w:val="0"/>
          <w:sz w:val="20"/>
          <w:lang w:val="hr-HR"/>
        </w:rPr>
        <w:t xml:space="preserve">. </w:t>
      </w:r>
      <w:r>
        <w:rPr>
          <w:rFonts w:cs="Arial"/>
          <w:snapToGrid w:val="0"/>
          <w:sz w:val="20"/>
        </w:rPr>
        <w:t>godine</w:t>
      </w:r>
      <w:r>
        <w:rPr>
          <w:rFonts w:cs="Arial"/>
          <w:snapToGrid w:val="0"/>
          <w:sz w:val="20"/>
          <w:lang w:val="hr-HR"/>
        </w:rPr>
        <w:t xml:space="preserve"> </w:t>
      </w:r>
      <w:r w:rsidRPr="00E675D5">
        <w:rPr>
          <w:rFonts w:cs="Arial"/>
          <w:snapToGrid w:val="0"/>
          <w:sz w:val="20"/>
          <w:lang w:val="hr-HR"/>
        </w:rPr>
        <w:t>8</w:t>
      </w:r>
      <w:r w:rsidRPr="00181953">
        <w:rPr>
          <w:rFonts w:cs="Arial"/>
          <w:snapToGrid w:val="0"/>
          <w:sz w:val="20"/>
          <w:lang w:val="hr-HR"/>
        </w:rPr>
        <w:t xml:space="preserve"> </w:t>
      </w:r>
      <w:r w:rsidRPr="002568A7">
        <w:rPr>
          <w:rFonts w:cs="Arial"/>
          <w:snapToGrid w:val="0"/>
          <w:sz w:val="20"/>
        </w:rPr>
        <w:t>milijuna</w:t>
      </w:r>
      <w:r w:rsidRPr="00181953">
        <w:rPr>
          <w:rFonts w:cs="Arial"/>
          <w:snapToGrid w:val="0"/>
          <w:sz w:val="20"/>
          <w:lang w:val="hr-HR"/>
        </w:rPr>
        <w:t xml:space="preserve"> </w:t>
      </w:r>
      <w:r w:rsidRPr="002568A7">
        <w:rPr>
          <w:rFonts w:cs="Arial"/>
          <w:snapToGrid w:val="0"/>
          <w:sz w:val="20"/>
        </w:rPr>
        <w:t>kuna</w:t>
      </w:r>
      <w:r w:rsidRPr="00181953">
        <w:rPr>
          <w:rFonts w:cs="Arial"/>
          <w:snapToGrid w:val="0"/>
          <w:sz w:val="20"/>
          <w:lang w:val="hr-HR"/>
        </w:rPr>
        <w:t>).</w:t>
      </w:r>
    </w:p>
    <w:p w:rsidR="003E4626" w:rsidRPr="00181953" w:rsidRDefault="003E4626" w:rsidP="00BA5338">
      <w:pPr>
        <w:pStyle w:val="T10"/>
        <w:rPr>
          <w:rFonts w:cs="Arial"/>
          <w:i/>
          <w:snapToGrid w:val="0"/>
          <w:sz w:val="20"/>
          <w:lang w:val="hr-HR"/>
        </w:rPr>
      </w:pPr>
      <w:r w:rsidRPr="002568A7">
        <w:rPr>
          <w:rFonts w:cs="Arial"/>
          <w:i/>
          <w:snapToGrid w:val="0"/>
          <w:sz w:val="20"/>
        </w:rPr>
        <w:t>Naknade</w:t>
      </w:r>
      <w:r w:rsidRPr="00181953">
        <w:rPr>
          <w:rFonts w:cs="Arial"/>
          <w:i/>
          <w:snapToGrid w:val="0"/>
          <w:sz w:val="20"/>
          <w:lang w:val="hr-HR"/>
        </w:rPr>
        <w:t xml:space="preserve"> č</w:t>
      </w:r>
      <w:r w:rsidRPr="002568A7">
        <w:rPr>
          <w:rFonts w:cs="Arial"/>
          <w:i/>
          <w:snapToGrid w:val="0"/>
          <w:sz w:val="20"/>
        </w:rPr>
        <w:t>lanovima</w:t>
      </w:r>
      <w:r w:rsidRPr="00181953">
        <w:rPr>
          <w:rFonts w:cs="Arial"/>
          <w:i/>
          <w:snapToGrid w:val="0"/>
          <w:sz w:val="20"/>
          <w:lang w:val="hr-HR"/>
        </w:rPr>
        <w:t xml:space="preserve"> </w:t>
      </w:r>
      <w:r w:rsidRPr="002568A7">
        <w:rPr>
          <w:rFonts w:cs="Arial"/>
          <w:i/>
          <w:snapToGrid w:val="0"/>
          <w:sz w:val="20"/>
        </w:rPr>
        <w:t>Nadzornog</w:t>
      </w:r>
      <w:r w:rsidRPr="00181953">
        <w:rPr>
          <w:rFonts w:cs="Arial"/>
          <w:i/>
          <w:snapToGrid w:val="0"/>
          <w:sz w:val="20"/>
          <w:lang w:val="hr-HR"/>
        </w:rPr>
        <w:t xml:space="preserve"> </w:t>
      </w:r>
      <w:r w:rsidRPr="002568A7">
        <w:rPr>
          <w:rFonts w:cs="Arial"/>
          <w:i/>
          <w:snapToGrid w:val="0"/>
          <w:sz w:val="20"/>
        </w:rPr>
        <w:t>Odbora</w:t>
      </w:r>
    </w:p>
    <w:p w:rsidR="003E4626" w:rsidRPr="000477DE" w:rsidRDefault="003E4626" w:rsidP="00BA5338">
      <w:pPr>
        <w:pStyle w:val="T10"/>
        <w:rPr>
          <w:rFonts w:cs="Arial"/>
          <w:lang w:val="hr-HR"/>
        </w:rPr>
      </w:pPr>
      <w:r w:rsidRPr="00B04E3E">
        <w:rPr>
          <w:rFonts w:cs="Arial"/>
        </w:rPr>
        <w:t>Prema</w:t>
      </w:r>
      <w:r w:rsidRPr="000477DE">
        <w:rPr>
          <w:rFonts w:cs="Arial"/>
          <w:lang w:val="hr-HR"/>
        </w:rPr>
        <w:t xml:space="preserve"> </w:t>
      </w:r>
      <w:r w:rsidRPr="00B04E3E">
        <w:rPr>
          <w:rFonts w:cs="Arial"/>
        </w:rPr>
        <w:t>odredbi</w:t>
      </w:r>
      <w:r w:rsidRPr="000477DE">
        <w:rPr>
          <w:rFonts w:cs="Arial"/>
          <w:lang w:val="hr-HR"/>
        </w:rPr>
        <w:t xml:space="preserve"> </w:t>
      </w:r>
      <w:r w:rsidRPr="00B04E3E">
        <w:rPr>
          <w:rFonts w:cs="Arial"/>
        </w:rPr>
        <w:t>Dru</w:t>
      </w:r>
      <w:r w:rsidRPr="000477DE">
        <w:rPr>
          <w:rFonts w:cs="Arial"/>
          <w:lang w:val="hr-HR"/>
        </w:rPr>
        <w:t>š</w:t>
      </w:r>
      <w:r w:rsidRPr="00B04E3E">
        <w:rPr>
          <w:rFonts w:cs="Arial"/>
        </w:rPr>
        <w:t>tva</w:t>
      </w:r>
      <w:r w:rsidRPr="000477DE">
        <w:rPr>
          <w:rFonts w:cs="Arial"/>
          <w:lang w:val="hr-HR"/>
        </w:rPr>
        <w:t xml:space="preserve">, </w:t>
      </w:r>
      <w:r w:rsidRPr="00B04E3E">
        <w:rPr>
          <w:rFonts w:cs="Arial"/>
        </w:rPr>
        <w:t>predsjednik</w:t>
      </w:r>
      <w:r w:rsidRPr="000477DE">
        <w:rPr>
          <w:rFonts w:cs="Arial"/>
          <w:lang w:val="hr-HR"/>
        </w:rPr>
        <w:t xml:space="preserve"> </w:t>
      </w:r>
      <w:r w:rsidRPr="00B04E3E">
        <w:rPr>
          <w:rFonts w:cs="Arial"/>
        </w:rPr>
        <w:t>Nadzornog</w:t>
      </w:r>
      <w:r w:rsidRPr="000477DE">
        <w:rPr>
          <w:rFonts w:cs="Arial"/>
          <w:lang w:val="hr-HR"/>
        </w:rPr>
        <w:t xml:space="preserve"> </w:t>
      </w:r>
      <w:r w:rsidRPr="00B04E3E">
        <w:rPr>
          <w:rFonts w:cs="Arial"/>
        </w:rPr>
        <w:t>odbora</w:t>
      </w:r>
      <w:r w:rsidRPr="000477DE">
        <w:rPr>
          <w:rFonts w:cs="Arial"/>
          <w:lang w:val="hr-HR"/>
        </w:rPr>
        <w:t xml:space="preserve"> </w:t>
      </w:r>
      <w:r w:rsidRPr="00B04E3E">
        <w:rPr>
          <w:rFonts w:cs="Arial"/>
        </w:rPr>
        <w:t>prima</w:t>
      </w:r>
      <w:r w:rsidRPr="000477DE">
        <w:rPr>
          <w:rFonts w:cs="Arial"/>
          <w:lang w:val="hr-HR"/>
        </w:rPr>
        <w:t xml:space="preserve"> </w:t>
      </w:r>
      <w:r w:rsidRPr="00B04E3E">
        <w:rPr>
          <w:rFonts w:cs="Arial"/>
        </w:rPr>
        <w:t>naknadu</w:t>
      </w:r>
      <w:r w:rsidRPr="000477DE">
        <w:rPr>
          <w:rFonts w:cs="Arial"/>
          <w:lang w:val="hr-HR"/>
        </w:rPr>
        <w:t xml:space="preserve"> </w:t>
      </w:r>
      <w:r w:rsidRPr="00B04E3E">
        <w:rPr>
          <w:rFonts w:cs="Arial"/>
        </w:rPr>
        <w:t>u</w:t>
      </w:r>
      <w:r w:rsidRPr="000477DE">
        <w:rPr>
          <w:rFonts w:cs="Arial"/>
          <w:lang w:val="hr-HR"/>
        </w:rPr>
        <w:t xml:space="preserve"> </w:t>
      </w:r>
      <w:r w:rsidRPr="00B04E3E">
        <w:rPr>
          <w:rFonts w:cs="Arial"/>
        </w:rPr>
        <w:t>iznosu</w:t>
      </w:r>
      <w:r w:rsidRPr="000477DE">
        <w:rPr>
          <w:rFonts w:cs="Arial"/>
          <w:lang w:val="hr-HR"/>
        </w:rPr>
        <w:t xml:space="preserve"> </w:t>
      </w:r>
      <w:r w:rsidRPr="00B04E3E">
        <w:rPr>
          <w:rFonts w:cs="Arial"/>
        </w:rPr>
        <w:t>od</w:t>
      </w:r>
      <w:r w:rsidRPr="000477DE">
        <w:rPr>
          <w:rFonts w:cs="Arial"/>
          <w:lang w:val="hr-HR"/>
        </w:rPr>
        <w:t xml:space="preserve"> 1,5 </w:t>
      </w:r>
      <w:r w:rsidRPr="00B04E3E">
        <w:rPr>
          <w:rFonts w:cs="Arial"/>
        </w:rPr>
        <w:t>prosje</w:t>
      </w:r>
      <w:r w:rsidRPr="000477DE">
        <w:rPr>
          <w:rFonts w:cs="Arial"/>
          <w:lang w:val="hr-HR"/>
        </w:rPr>
        <w:t>č</w:t>
      </w:r>
      <w:r w:rsidRPr="00B04E3E">
        <w:rPr>
          <w:rFonts w:cs="Arial"/>
        </w:rPr>
        <w:t>ne</w:t>
      </w:r>
      <w:r w:rsidRPr="000477DE">
        <w:rPr>
          <w:rFonts w:cs="Arial"/>
          <w:lang w:val="hr-HR"/>
        </w:rPr>
        <w:t xml:space="preserve"> </w:t>
      </w:r>
      <w:r w:rsidRPr="00B04E3E">
        <w:rPr>
          <w:rFonts w:cs="Arial"/>
        </w:rPr>
        <w:t>pla</w:t>
      </w:r>
      <w:r w:rsidRPr="000477DE">
        <w:rPr>
          <w:rFonts w:cs="Arial"/>
          <w:lang w:val="hr-HR"/>
        </w:rPr>
        <w:t>ć</w:t>
      </w:r>
      <w:r w:rsidRPr="00B04E3E">
        <w:rPr>
          <w:rFonts w:cs="Arial"/>
        </w:rPr>
        <w:t>e</w:t>
      </w:r>
      <w:r w:rsidRPr="000477DE">
        <w:rPr>
          <w:rFonts w:cs="Arial"/>
          <w:lang w:val="hr-HR"/>
        </w:rPr>
        <w:t xml:space="preserve"> </w:t>
      </w:r>
      <w:r w:rsidRPr="00B04E3E">
        <w:rPr>
          <w:rFonts w:cs="Arial"/>
        </w:rPr>
        <w:t>zaposlenika</w:t>
      </w:r>
      <w:r w:rsidRPr="000477DE">
        <w:rPr>
          <w:rFonts w:cs="Arial"/>
          <w:lang w:val="hr-HR"/>
        </w:rPr>
        <w:t xml:space="preserve"> </w:t>
      </w:r>
      <w:r w:rsidRPr="00B04E3E">
        <w:rPr>
          <w:rFonts w:cs="Arial"/>
        </w:rPr>
        <w:t>Dru</w:t>
      </w:r>
      <w:r w:rsidRPr="000477DE">
        <w:rPr>
          <w:rFonts w:cs="Arial"/>
          <w:lang w:val="hr-HR"/>
        </w:rPr>
        <w:t>š</w:t>
      </w:r>
      <w:r w:rsidRPr="00B04E3E">
        <w:rPr>
          <w:rFonts w:cs="Arial"/>
        </w:rPr>
        <w:t>tva</w:t>
      </w:r>
      <w:r w:rsidRPr="000477DE">
        <w:rPr>
          <w:rFonts w:cs="Arial"/>
          <w:lang w:val="hr-HR"/>
        </w:rPr>
        <w:t xml:space="preserve"> </w:t>
      </w:r>
      <w:r w:rsidRPr="00B04E3E">
        <w:rPr>
          <w:rFonts w:cs="Arial"/>
        </w:rPr>
        <w:t>ispla</w:t>
      </w:r>
      <w:r w:rsidRPr="000477DE">
        <w:rPr>
          <w:rFonts w:cs="Arial"/>
          <w:lang w:val="hr-HR"/>
        </w:rPr>
        <w:t>ć</w:t>
      </w:r>
      <w:r w:rsidRPr="00B04E3E">
        <w:rPr>
          <w:rFonts w:cs="Arial"/>
        </w:rPr>
        <w:t>ene</w:t>
      </w:r>
      <w:r w:rsidRPr="000477DE">
        <w:rPr>
          <w:rFonts w:cs="Arial"/>
          <w:lang w:val="hr-HR"/>
        </w:rPr>
        <w:t xml:space="preserve"> </w:t>
      </w:r>
      <w:r w:rsidRPr="00B04E3E">
        <w:rPr>
          <w:rFonts w:cs="Arial"/>
        </w:rPr>
        <w:t>u</w:t>
      </w:r>
      <w:r w:rsidRPr="000477DE">
        <w:rPr>
          <w:rFonts w:cs="Arial"/>
          <w:lang w:val="hr-HR"/>
        </w:rPr>
        <w:t xml:space="preserve"> </w:t>
      </w:r>
      <w:r w:rsidRPr="00B04E3E">
        <w:rPr>
          <w:rFonts w:cs="Arial"/>
        </w:rPr>
        <w:t>prethodnom</w:t>
      </w:r>
      <w:r w:rsidRPr="000477DE">
        <w:rPr>
          <w:rFonts w:cs="Arial"/>
          <w:lang w:val="hr-HR"/>
        </w:rPr>
        <w:t xml:space="preserve"> </w:t>
      </w:r>
      <w:r w:rsidRPr="00B04E3E">
        <w:rPr>
          <w:rFonts w:cs="Arial"/>
        </w:rPr>
        <w:t>mjesecu</w:t>
      </w:r>
      <w:r w:rsidRPr="000477DE">
        <w:rPr>
          <w:rFonts w:cs="Arial"/>
          <w:lang w:val="hr-HR"/>
        </w:rPr>
        <w:t xml:space="preserve">. </w:t>
      </w:r>
      <w:r w:rsidRPr="00B04E3E">
        <w:rPr>
          <w:rFonts w:cs="Arial"/>
        </w:rPr>
        <w:t>Naknada</w:t>
      </w:r>
      <w:r w:rsidRPr="000477DE">
        <w:rPr>
          <w:rFonts w:cs="Arial"/>
          <w:lang w:val="hr-HR"/>
        </w:rPr>
        <w:t xml:space="preserve"> </w:t>
      </w:r>
      <w:r w:rsidRPr="00B04E3E">
        <w:rPr>
          <w:rFonts w:cs="Arial"/>
        </w:rPr>
        <w:t>zamjeniku</w:t>
      </w:r>
      <w:r w:rsidRPr="000477DE">
        <w:rPr>
          <w:rFonts w:cs="Arial"/>
          <w:lang w:val="hr-HR"/>
        </w:rPr>
        <w:t xml:space="preserve"> </w:t>
      </w:r>
      <w:r w:rsidRPr="00B04E3E">
        <w:rPr>
          <w:rFonts w:cs="Arial"/>
        </w:rPr>
        <w:t>predsjednika</w:t>
      </w:r>
      <w:r w:rsidRPr="000477DE">
        <w:rPr>
          <w:rFonts w:cs="Arial"/>
          <w:lang w:val="hr-HR"/>
        </w:rPr>
        <w:t xml:space="preserve"> </w:t>
      </w:r>
      <w:r w:rsidRPr="00B04E3E">
        <w:rPr>
          <w:rFonts w:cs="Arial"/>
        </w:rPr>
        <w:t>iznosi</w:t>
      </w:r>
      <w:r w:rsidRPr="000477DE">
        <w:rPr>
          <w:rFonts w:cs="Arial"/>
          <w:lang w:val="hr-HR"/>
        </w:rPr>
        <w:t xml:space="preserve"> 1,25 </w:t>
      </w:r>
      <w:r w:rsidRPr="00B04E3E">
        <w:rPr>
          <w:rFonts w:cs="Arial"/>
        </w:rPr>
        <w:t>prosje</w:t>
      </w:r>
      <w:r w:rsidRPr="000477DE">
        <w:rPr>
          <w:rFonts w:cs="Arial"/>
          <w:lang w:val="hr-HR"/>
        </w:rPr>
        <w:t>č</w:t>
      </w:r>
      <w:r w:rsidRPr="00B04E3E">
        <w:rPr>
          <w:rFonts w:cs="Arial"/>
        </w:rPr>
        <w:t>ne</w:t>
      </w:r>
      <w:r w:rsidRPr="000477DE">
        <w:rPr>
          <w:rFonts w:cs="Arial"/>
          <w:lang w:val="hr-HR"/>
        </w:rPr>
        <w:t xml:space="preserve"> </w:t>
      </w:r>
      <w:r w:rsidRPr="00B04E3E">
        <w:rPr>
          <w:rFonts w:cs="Arial"/>
        </w:rPr>
        <w:t>pla</w:t>
      </w:r>
      <w:r w:rsidRPr="000477DE">
        <w:rPr>
          <w:rFonts w:cs="Arial"/>
          <w:lang w:val="hr-HR"/>
        </w:rPr>
        <w:t>ć</w:t>
      </w:r>
      <w:r w:rsidRPr="00B04E3E">
        <w:rPr>
          <w:rFonts w:cs="Arial"/>
        </w:rPr>
        <w:t>e</w:t>
      </w:r>
      <w:r w:rsidRPr="000477DE">
        <w:rPr>
          <w:rFonts w:cs="Arial"/>
          <w:lang w:val="hr-HR"/>
        </w:rPr>
        <w:t xml:space="preserve"> </w:t>
      </w:r>
      <w:r w:rsidRPr="00B04E3E">
        <w:rPr>
          <w:rFonts w:cs="Arial"/>
        </w:rPr>
        <w:t>zaposlenika</w:t>
      </w:r>
      <w:r w:rsidRPr="000477DE">
        <w:rPr>
          <w:rFonts w:cs="Arial"/>
          <w:lang w:val="hr-HR"/>
        </w:rPr>
        <w:t xml:space="preserve"> </w:t>
      </w:r>
      <w:r w:rsidRPr="00B04E3E">
        <w:rPr>
          <w:rFonts w:cs="Arial"/>
        </w:rPr>
        <w:t>Dru</w:t>
      </w:r>
      <w:r w:rsidRPr="000477DE">
        <w:rPr>
          <w:rFonts w:cs="Arial"/>
          <w:lang w:val="hr-HR"/>
        </w:rPr>
        <w:t>š</w:t>
      </w:r>
      <w:r w:rsidRPr="00B04E3E">
        <w:rPr>
          <w:rFonts w:cs="Arial"/>
        </w:rPr>
        <w:t>tva</w:t>
      </w:r>
      <w:r w:rsidRPr="000477DE">
        <w:rPr>
          <w:rFonts w:cs="Arial"/>
          <w:lang w:val="hr-HR"/>
        </w:rPr>
        <w:t xml:space="preserve"> </w:t>
      </w:r>
      <w:r w:rsidRPr="00B04E3E">
        <w:rPr>
          <w:rFonts w:cs="Arial"/>
        </w:rPr>
        <w:t>ispla</w:t>
      </w:r>
      <w:r w:rsidRPr="000477DE">
        <w:rPr>
          <w:rFonts w:cs="Arial"/>
          <w:lang w:val="hr-HR"/>
        </w:rPr>
        <w:t>ć</w:t>
      </w:r>
      <w:r w:rsidRPr="00B04E3E">
        <w:rPr>
          <w:rFonts w:cs="Arial"/>
        </w:rPr>
        <w:t>ene</w:t>
      </w:r>
      <w:r w:rsidRPr="000477DE">
        <w:rPr>
          <w:rFonts w:cs="Arial"/>
          <w:lang w:val="hr-HR"/>
        </w:rPr>
        <w:t xml:space="preserve"> </w:t>
      </w:r>
      <w:r w:rsidRPr="00B04E3E">
        <w:rPr>
          <w:rFonts w:cs="Arial"/>
        </w:rPr>
        <w:t>u</w:t>
      </w:r>
      <w:r w:rsidRPr="000477DE">
        <w:rPr>
          <w:rFonts w:cs="Arial"/>
          <w:lang w:val="hr-HR"/>
        </w:rPr>
        <w:t xml:space="preserve"> </w:t>
      </w:r>
      <w:r w:rsidRPr="00B04E3E">
        <w:rPr>
          <w:rFonts w:cs="Arial"/>
        </w:rPr>
        <w:t>prethodnom</w:t>
      </w:r>
      <w:r w:rsidRPr="000477DE">
        <w:rPr>
          <w:rFonts w:cs="Arial"/>
          <w:lang w:val="hr-HR"/>
        </w:rPr>
        <w:t xml:space="preserve"> </w:t>
      </w:r>
      <w:r w:rsidRPr="00B04E3E">
        <w:rPr>
          <w:rFonts w:cs="Arial"/>
        </w:rPr>
        <w:t>mjesecu</w:t>
      </w:r>
      <w:r w:rsidRPr="000477DE">
        <w:rPr>
          <w:rFonts w:cs="Arial"/>
          <w:lang w:val="hr-HR"/>
        </w:rPr>
        <w:t xml:space="preserve"> </w:t>
      </w:r>
      <w:r w:rsidRPr="00B04E3E">
        <w:rPr>
          <w:rFonts w:cs="Arial"/>
        </w:rPr>
        <w:t>dok</w:t>
      </w:r>
      <w:r w:rsidRPr="000477DE">
        <w:rPr>
          <w:rFonts w:cs="Arial"/>
          <w:lang w:val="hr-HR"/>
        </w:rPr>
        <w:t xml:space="preserve"> </w:t>
      </w:r>
      <w:r w:rsidRPr="00B04E3E">
        <w:rPr>
          <w:rFonts w:cs="Arial"/>
        </w:rPr>
        <w:t>ostali</w:t>
      </w:r>
      <w:r w:rsidRPr="000477DE">
        <w:rPr>
          <w:rFonts w:cs="Arial"/>
          <w:lang w:val="hr-HR"/>
        </w:rPr>
        <w:t xml:space="preserve"> č</w:t>
      </w:r>
      <w:r w:rsidRPr="00B04E3E">
        <w:rPr>
          <w:rFonts w:cs="Arial"/>
        </w:rPr>
        <w:t>lanovi</w:t>
      </w:r>
      <w:r w:rsidRPr="000477DE">
        <w:rPr>
          <w:rFonts w:cs="Arial"/>
          <w:lang w:val="hr-HR"/>
        </w:rPr>
        <w:t xml:space="preserve"> </w:t>
      </w:r>
      <w:r w:rsidRPr="00B04E3E">
        <w:rPr>
          <w:rFonts w:cs="Arial"/>
        </w:rPr>
        <w:t>Nadzornog</w:t>
      </w:r>
      <w:r w:rsidRPr="000477DE">
        <w:rPr>
          <w:rFonts w:cs="Arial"/>
          <w:lang w:val="hr-HR"/>
        </w:rPr>
        <w:t xml:space="preserve"> </w:t>
      </w:r>
      <w:r w:rsidRPr="00B04E3E">
        <w:rPr>
          <w:rFonts w:cs="Arial"/>
        </w:rPr>
        <w:t>odbora</w:t>
      </w:r>
      <w:r w:rsidRPr="000477DE">
        <w:rPr>
          <w:rFonts w:cs="Arial"/>
          <w:lang w:val="hr-HR"/>
        </w:rPr>
        <w:t xml:space="preserve"> </w:t>
      </w:r>
      <w:r w:rsidRPr="00B04E3E">
        <w:rPr>
          <w:rFonts w:cs="Arial"/>
        </w:rPr>
        <w:t>dobivaju</w:t>
      </w:r>
      <w:r w:rsidRPr="000477DE">
        <w:rPr>
          <w:rFonts w:cs="Arial"/>
          <w:lang w:val="hr-HR"/>
        </w:rPr>
        <w:t xml:space="preserve"> </w:t>
      </w:r>
      <w:r w:rsidRPr="00B04E3E">
        <w:rPr>
          <w:rFonts w:cs="Arial"/>
        </w:rPr>
        <w:t>naknadu</w:t>
      </w:r>
      <w:r w:rsidRPr="000477DE">
        <w:rPr>
          <w:rFonts w:cs="Arial"/>
          <w:lang w:val="hr-HR"/>
        </w:rPr>
        <w:t xml:space="preserve"> </w:t>
      </w:r>
      <w:r w:rsidRPr="00B04E3E">
        <w:rPr>
          <w:rFonts w:cs="Arial"/>
        </w:rPr>
        <w:t>u</w:t>
      </w:r>
      <w:r w:rsidRPr="000477DE">
        <w:rPr>
          <w:rFonts w:cs="Arial"/>
          <w:lang w:val="hr-HR"/>
        </w:rPr>
        <w:t xml:space="preserve"> </w:t>
      </w:r>
      <w:r w:rsidRPr="00B04E3E">
        <w:rPr>
          <w:rFonts w:cs="Arial"/>
        </w:rPr>
        <w:t>iznosu</w:t>
      </w:r>
      <w:r w:rsidRPr="000477DE">
        <w:rPr>
          <w:rFonts w:cs="Arial"/>
          <w:lang w:val="hr-HR"/>
        </w:rPr>
        <w:t xml:space="preserve"> </w:t>
      </w:r>
      <w:r w:rsidRPr="00B04E3E">
        <w:rPr>
          <w:rFonts w:cs="Arial"/>
        </w:rPr>
        <w:t>od</w:t>
      </w:r>
      <w:r w:rsidRPr="000477DE">
        <w:rPr>
          <w:rFonts w:cs="Arial"/>
          <w:lang w:val="hr-HR"/>
        </w:rPr>
        <w:t xml:space="preserve"> </w:t>
      </w:r>
      <w:r w:rsidRPr="00B04E3E">
        <w:rPr>
          <w:rFonts w:cs="Arial"/>
        </w:rPr>
        <w:t>jedne</w:t>
      </w:r>
      <w:r w:rsidRPr="000477DE">
        <w:rPr>
          <w:rFonts w:cs="Arial"/>
          <w:lang w:val="hr-HR"/>
        </w:rPr>
        <w:t xml:space="preserve"> </w:t>
      </w:r>
      <w:r w:rsidRPr="00B04E3E">
        <w:rPr>
          <w:rFonts w:cs="Arial"/>
        </w:rPr>
        <w:t>prosje</w:t>
      </w:r>
      <w:r w:rsidRPr="000477DE">
        <w:rPr>
          <w:rFonts w:cs="Arial"/>
          <w:lang w:val="hr-HR"/>
        </w:rPr>
        <w:t>č</w:t>
      </w:r>
      <w:r w:rsidRPr="00B04E3E">
        <w:rPr>
          <w:rFonts w:cs="Arial"/>
        </w:rPr>
        <w:t>ne</w:t>
      </w:r>
      <w:r w:rsidRPr="000477DE">
        <w:rPr>
          <w:rFonts w:cs="Arial"/>
          <w:lang w:val="hr-HR"/>
        </w:rPr>
        <w:t xml:space="preserve"> </w:t>
      </w:r>
      <w:r w:rsidRPr="00B04E3E">
        <w:rPr>
          <w:rFonts w:cs="Arial"/>
        </w:rPr>
        <w:t>pla</w:t>
      </w:r>
      <w:r w:rsidRPr="000477DE">
        <w:rPr>
          <w:rFonts w:cs="Arial"/>
          <w:lang w:val="hr-HR"/>
        </w:rPr>
        <w:t>ć</w:t>
      </w:r>
      <w:r w:rsidRPr="00B04E3E">
        <w:rPr>
          <w:rFonts w:cs="Arial"/>
        </w:rPr>
        <w:t>e</w:t>
      </w:r>
      <w:r w:rsidRPr="000477DE">
        <w:rPr>
          <w:rFonts w:cs="Arial"/>
          <w:lang w:val="hr-HR"/>
        </w:rPr>
        <w:t xml:space="preserve"> </w:t>
      </w:r>
      <w:r w:rsidRPr="00B04E3E">
        <w:rPr>
          <w:rFonts w:cs="Arial"/>
        </w:rPr>
        <w:t>zaposlenika</w:t>
      </w:r>
      <w:r w:rsidRPr="000477DE">
        <w:rPr>
          <w:rFonts w:cs="Arial"/>
          <w:lang w:val="hr-HR"/>
        </w:rPr>
        <w:t xml:space="preserve"> </w:t>
      </w:r>
      <w:r w:rsidRPr="00B04E3E">
        <w:rPr>
          <w:rFonts w:cs="Arial"/>
        </w:rPr>
        <w:t>Dru</w:t>
      </w:r>
      <w:r w:rsidRPr="000477DE">
        <w:rPr>
          <w:rFonts w:cs="Arial"/>
          <w:lang w:val="hr-HR"/>
        </w:rPr>
        <w:t>š</w:t>
      </w:r>
      <w:r w:rsidRPr="00B04E3E">
        <w:rPr>
          <w:rFonts w:cs="Arial"/>
        </w:rPr>
        <w:t>tva</w:t>
      </w:r>
      <w:r w:rsidRPr="000477DE">
        <w:rPr>
          <w:rFonts w:cs="Arial"/>
          <w:lang w:val="hr-HR"/>
        </w:rPr>
        <w:t xml:space="preserve"> </w:t>
      </w:r>
      <w:r w:rsidRPr="00B04E3E">
        <w:rPr>
          <w:rFonts w:cs="Arial"/>
        </w:rPr>
        <w:t>ispla</w:t>
      </w:r>
      <w:r w:rsidRPr="000477DE">
        <w:rPr>
          <w:rFonts w:cs="Arial"/>
          <w:lang w:val="hr-HR"/>
        </w:rPr>
        <w:t>ć</w:t>
      </w:r>
      <w:r w:rsidRPr="00B04E3E">
        <w:rPr>
          <w:rFonts w:cs="Arial"/>
        </w:rPr>
        <w:t>ene</w:t>
      </w:r>
      <w:r w:rsidRPr="000477DE">
        <w:rPr>
          <w:rFonts w:cs="Arial"/>
          <w:lang w:val="hr-HR"/>
        </w:rPr>
        <w:t xml:space="preserve"> </w:t>
      </w:r>
      <w:r w:rsidRPr="00B04E3E">
        <w:rPr>
          <w:rFonts w:cs="Arial"/>
        </w:rPr>
        <w:t>u</w:t>
      </w:r>
      <w:r w:rsidRPr="000477DE">
        <w:rPr>
          <w:rFonts w:cs="Arial"/>
          <w:lang w:val="hr-HR"/>
        </w:rPr>
        <w:t xml:space="preserve"> </w:t>
      </w:r>
      <w:r w:rsidRPr="00B04E3E">
        <w:rPr>
          <w:rFonts w:cs="Arial"/>
        </w:rPr>
        <w:t>prethodnom</w:t>
      </w:r>
      <w:r w:rsidRPr="000477DE">
        <w:rPr>
          <w:rFonts w:cs="Arial"/>
          <w:lang w:val="hr-HR"/>
        </w:rPr>
        <w:t xml:space="preserve"> </w:t>
      </w:r>
      <w:r w:rsidRPr="00B04E3E">
        <w:rPr>
          <w:rFonts w:cs="Arial"/>
        </w:rPr>
        <w:t>mjesecu</w:t>
      </w:r>
      <w:r w:rsidRPr="000477DE">
        <w:rPr>
          <w:rFonts w:cs="Arial"/>
          <w:lang w:val="hr-HR"/>
        </w:rPr>
        <w:t xml:space="preserve">. </w:t>
      </w:r>
      <w:r w:rsidRPr="00B04E3E">
        <w:rPr>
          <w:rFonts w:cs="Arial"/>
        </w:rPr>
        <w:t>Naknada</w:t>
      </w:r>
      <w:r w:rsidRPr="000477DE">
        <w:rPr>
          <w:rFonts w:cs="Arial"/>
          <w:lang w:val="hr-HR"/>
        </w:rPr>
        <w:t xml:space="preserve"> č</w:t>
      </w:r>
      <w:r w:rsidRPr="00B04E3E">
        <w:rPr>
          <w:rFonts w:cs="Arial"/>
        </w:rPr>
        <w:t>lanu</w:t>
      </w:r>
      <w:r w:rsidRPr="000477DE">
        <w:rPr>
          <w:rFonts w:cs="Arial"/>
          <w:lang w:val="hr-HR"/>
        </w:rPr>
        <w:t xml:space="preserve"> </w:t>
      </w:r>
      <w:r w:rsidRPr="00B04E3E">
        <w:rPr>
          <w:rFonts w:cs="Arial"/>
        </w:rPr>
        <w:t>Nadzornog</w:t>
      </w:r>
      <w:r w:rsidRPr="000477DE">
        <w:rPr>
          <w:rFonts w:cs="Arial"/>
          <w:lang w:val="hr-HR"/>
        </w:rPr>
        <w:t xml:space="preserve"> </w:t>
      </w:r>
      <w:r w:rsidRPr="00B04E3E">
        <w:rPr>
          <w:rFonts w:cs="Arial"/>
        </w:rPr>
        <w:t>odbora</w:t>
      </w:r>
      <w:r w:rsidRPr="000477DE">
        <w:rPr>
          <w:rFonts w:cs="Arial"/>
          <w:lang w:val="hr-HR"/>
        </w:rPr>
        <w:t xml:space="preserve"> </w:t>
      </w:r>
      <w:r w:rsidRPr="00B04E3E">
        <w:rPr>
          <w:rFonts w:cs="Arial"/>
        </w:rPr>
        <w:t>koji</w:t>
      </w:r>
      <w:r w:rsidRPr="000477DE">
        <w:rPr>
          <w:rFonts w:cs="Arial"/>
          <w:lang w:val="hr-HR"/>
        </w:rPr>
        <w:t xml:space="preserve"> </w:t>
      </w:r>
      <w:r w:rsidRPr="00B04E3E">
        <w:rPr>
          <w:rFonts w:cs="Arial"/>
        </w:rPr>
        <w:t>je</w:t>
      </w:r>
      <w:r w:rsidRPr="000477DE">
        <w:rPr>
          <w:rFonts w:cs="Arial"/>
          <w:lang w:val="hr-HR"/>
        </w:rPr>
        <w:t xml:space="preserve"> </w:t>
      </w:r>
      <w:r w:rsidRPr="00B04E3E">
        <w:rPr>
          <w:rFonts w:cs="Arial"/>
        </w:rPr>
        <w:t>ujedno</w:t>
      </w:r>
      <w:r w:rsidRPr="000477DE">
        <w:rPr>
          <w:rFonts w:cs="Arial"/>
          <w:lang w:val="hr-HR"/>
        </w:rPr>
        <w:t xml:space="preserve"> </w:t>
      </w:r>
      <w:r w:rsidRPr="00B04E3E">
        <w:rPr>
          <w:rFonts w:cs="Arial"/>
        </w:rPr>
        <w:t>i</w:t>
      </w:r>
      <w:r w:rsidRPr="000477DE">
        <w:rPr>
          <w:rFonts w:cs="Arial"/>
          <w:lang w:val="hr-HR"/>
        </w:rPr>
        <w:t xml:space="preserve"> </w:t>
      </w:r>
      <w:r w:rsidRPr="00B04E3E">
        <w:rPr>
          <w:rFonts w:cs="Arial"/>
        </w:rPr>
        <w:t>predsjednik</w:t>
      </w:r>
      <w:r w:rsidRPr="000477DE">
        <w:rPr>
          <w:rFonts w:cs="Arial"/>
          <w:lang w:val="hr-HR"/>
        </w:rPr>
        <w:t xml:space="preserve"> </w:t>
      </w:r>
      <w:r w:rsidRPr="00B04E3E">
        <w:rPr>
          <w:rFonts w:cs="Arial"/>
        </w:rPr>
        <w:t>Odbora</w:t>
      </w:r>
      <w:r w:rsidRPr="000477DE">
        <w:rPr>
          <w:rFonts w:cs="Arial"/>
          <w:lang w:val="hr-HR"/>
        </w:rPr>
        <w:t xml:space="preserve"> </w:t>
      </w:r>
      <w:r w:rsidRPr="00B04E3E">
        <w:rPr>
          <w:rFonts w:cs="Arial"/>
        </w:rPr>
        <w:t>za</w:t>
      </w:r>
      <w:r w:rsidRPr="000477DE">
        <w:rPr>
          <w:rFonts w:cs="Arial"/>
          <w:lang w:val="hr-HR"/>
        </w:rPr>
        <w:t xml:space="preserve"> </w:t>
      </w:r>
      <w:r w:rsidRPr="00B04E3E">
        <w:rPr>
          <w:rFonts w:cs="Arial"/>
        </w:rPr>
        <w:t>revi</w:t>
      </w:r>
      <w:r>
        <w:rPr>
          <w:rFonts w:cs="Arial"/>
        </w:rPr>
        <w:t>ziju</w:t>
      </w:r>
      <w:r w:rsidRPr="000477DE">
        <w:rPr>
          <w:rFonts w:cs="Arial"/>
          <w:lang w:val="hr-HR"/>
        </w:rPr>
        <w:t xml:space="preserve"> </w:t>
      </w:r>
      <w:r>
        <w:rPr>
          <w:rFonts w:cs="Arial"/>
        </w:rPr>
        <w:t>Nadzornog</w:t>
      </w:r>
      <w:r w:rsidRPr="000477DE">
        <w:rPr>
          <w:rFonts w:cs="Arial"/>
          <w:lang w:val="hr-HR"/>
        </w:rPr>
        <w:t xml:space="preserve"> </w:t>
      </w:r>
      <w:r>
        <w:rPr>
          <w:rFonts w:cs="Arial"/>
        </w:rPr>
        <w:t>odbora</w:t>
      </w:r>
      <w:r w:rsidRPr="000477DE">
        <w:rPr>
          <w:rFonts w:cs="Arial"/>
          <w:lang w:val="hr-HR"/>
        </w:rPr>
        <w:t xml:space="preserve"> </w:t>
      </w:r>
      <w:r>
        <w:rPr>
          <w:rFonts w:cs="Arial"/>
        </w:rPr>
        <w:t>iznosi</w:t>
      </w:r>
      <w:r w:rsidRPr="000477DE">
        <w:rPr>
          <w:rFonts w:cs="Arial"/>
          <w:lang w:val="hr-HR"/>
        </w:rPr>
        <w:t xml:space="preserve"> 1,5 </w:t>
      </w:r>
      <w:r w:rsidRPr="00B04E3E">
        <w:rPr>
          <w:rFonts w:cs="Arial"/>
        </w:rPr>
        <w:t>prosje</w:t>
      </w:r>
      <w:r w:rsidRPr="000477DE">
        <w:rPr>
          <w:rFonts w:cs="Arial"/>
          <w:lang w:val="hr-HR"/>
        </w:rPr>
        <w:t>č</w:t>
      </w:r>
      <w:r w:rsidRPr="00B04E3E">
        <w:rPr>
          <w:rFonts w:cs="Arial"/>
        </w:rPr>
        <w:t>ne</w:t>
      </w:r>
      <w:r w:rsidRPr="000477DE">
        <w:rPr>
          <w:rFonts w:cs="Arial"/>
          <w:lang w:val="hr-HR"/>
        </w:rPr>
        <w:t xml:space="preserve"> </w:t>
      </w:r>
      <w:r w:rsidRPr="00B04E3E">
        <w:rPr>
          <w:rFonts w:cs="Arial"/>
        </w:rPr>
        <w:t>pla</w:t>
      </w:r>
      <w:r w:rsidRPr="000477DE">
        <w:rPr>
          <w:rFonts w:cs="Arial"/>
          <w:lang w:val="hr-HR"/>
        </w:rPr>
        <w:t>ć</w:t>
      </w:r>
      <w:r w:rsidRPr="00B04E3E">
        <w:rPr>
          <w:rFonts w:cs="Arial"/>
        </w:rPr>
        <w:t>e</w:t>
      </w:r>
      <w:r w:rsidRPr="000477DE">
        <w:rPr>
          <w:rFonts w:cs="Arial"/>
          <w:lang w:val="hr-HR"/>
        </w:rPr>
        <w:t xml:space="preserve"> </w:t>
      </w:r>
      <w:r w:rsidRPr="00B04E3E">
        <w:rPr>
          <w:rFonts w:cs="Arial"/>
        </w:rPr>
        <w:t>zaposlenika</w:t>
      </w:r>
      <w:r w:rsidRPr="000477DE">
        <w:rPr>
          <w:rFonts w:cs="Arial"/>
          <w:lang w:val="hr-HR"/>
        </w:rPr>
        <w:t xml:space="preserve"> </w:t>
      </w:r>
      <w:r w:rsidRPr="00B04E3E">
        <w:rPr>
          <w:rFonts w:cs="Arial"/>
        </w:rPr>
        <w:t>Dru</w:t>
      </w:r>
      <w:r w:rsidRPr="000477DE">
        <w:rPr>
          <w:rFonts w:cs="Arial"/>
          <w:lang w:val="hr-HR"/>
        </w:rPr>
        <w:t>š</w:t>
      </w:r>
      <w:r w:rsidRPr="00B04E3E">
        <w:rPr>
          <w:rFonts w:cs="Arial"/>
        </w:rPr>
        <w:t>tva</w:t>
      </w:r>
      <w:r w:rsidRPr="000477DE">
        <w:rPr>
          <w:rFonts w:cs="Arial"/>
          <w:lang w:val="hr-HR"/>
        </w:rPr>
        <w:t xml:space="preserve"> </w:t>
      </w:r>
      <w:r w:rsidRPr="00B04E3E">
        <w:rPr>
          <w:rFonts w:cs="Arial"/>
        </w:rPr>
        <w:t>ispla</w:t>
      </w:r>
      <w:r w:rsidRPr="000477DE">
        <w:rPr>
          <w:rFonts w:cs="Arial"/>
          <w:lang w:val="hr-HR"/>
        </w:rPr>
        <w:t>ć</w:t>
      </w:r>
      <w:r w:rsidRPr="00B04E3E">
        <w:rPr>
          <w:rFonts w:cs="Arial"/>
        </w:rPr>
        <w:t>ene</w:t>
      </w:r>
      <w:r w:rsidRPr="000477DE">
        <w:rPr>
          <w:rFonts w:cs="Arial"/>
          <w:lang w:val="hr-HR"/>
        </w:rPr>
        <w:t xml:space="preserve"> </w:t>
      </w:r>
      <w:r w:rsidRPr="00B04E3E">
        <w:rPr>
          <w:rFonts w:cs="Arial"/>
        </w:rPr>
        <w:t>u</w:t>
      </w:r>
      <w:r w:rsidRPr="000477DE">
        <w:rPr>
          <w:rFonts w:cs="Arial"/>
          <w:lang w:val="hr-HR"/>
        </w:rPr>
        <w:t xml:space="preserve"> </w:t>
      </w:r>
      <w:r w:rsidRPr="00B04E3E">
        <w:rPr>
          <w:rFonts w:cs="Arial"/>
        </w:rPr>
        <w:t>prethodnom</w:t>
      </w:r>
      <w:r w:rsidRPr="000477DE">
        <w:rPr>
          <w:rFonts w:cs="Arial"/>
          <w:lang w:val="hr-HR"/>
        </w:rPr>
        <w:t xml:space="preserve"> </w:t>
      </w:r>
      <w:r w:rsidRPr="00B04E3E">
        <w:rPr>
          <w:rFonts w:cs="Arial"/>
        </w:rPr>
        <w:t>mjesecu</w:t>
      </w:r>
      <w:r w:rsidRPr="000477DE">
        <w:rPr>
          <w:rFonts w:cs="Arial"/>
          <w:lang w:val="hr-HR"/>
        </w:rPr>
        <w:t xml:space="preserve">. </w:t>
      </w:r>
      <w:r w:rsidRPr="00C62C6A">
        <w:rPr>
          <w:rFonts w:cs="Arial"/>
        </w:rPr>
        <w:t>Naknada</w:t>
      </w:r>
      <w:r w:rsidRPr="000477DE">
        <w:rPr>
          <w:rFonts w:cs="Arial"/>
          <w:lang w:val="hr-HR"/>
        </w:rPr>
        <w:t xml:space="preserve"> č</w:t>
      </w:r>
      <w:r w:rsidRPr="00C62C6A">
        <w:rPr>
          <w:rFonts w:cs="Arial"/>
        </w:rPr>
        <w:t>lanu</w:t>
      </w:r>
      <w:r w:rsidRPr="000477DE">
        <w:rPr>
          <w:rFonts w:cs="Arial"/>
          <w:lang w:val="hr-HR"/>
        </w:rPr>
        <w:t xml:space="preserve"> </w:t>
      </w:r>
      <w:r w:rsidRPr="00C62C6A">
        <w:rPr>
          <w:rFonts w:cs="Arial"/>
        </w:rPr>
        <w:t>Nadzornog</w:t>
      </w:r>
      <w:r w:rsidRPr="000477DE">
        <w:rPr>
          <w:rFonts w:cs="Arial"/>
          <w:lang w:val="hr-HR"/>
        </w:rPr>
        <w:t xml:space="preserve"> </w:t>
      </w:r>
      <w:r w:rsidRPr="00C62C6A">
        <w:rPr>
          <w:rFonts w:cs="Arial"/>
        </w:rPr>
        <w:t>odbora</w:t>
      </w:r>
      <w:r w:rsidRPr="000477DE">
        <w:rPr>
          <w:rFonts w:cs="Arial"/>
          <w:lang w:val="hr-HR"/>
        </w:rPr>
        <w:t xml:space="preserve"> </w:t>
      </w:r>
      <w:r w:rsidRPr="00C62C6A">
        <w:rPr>
          <w:rFonts w:cs="Arial"/>
        </w:rPr>
        <w:t>koji</w:t>
      </w:r>
      <w:r w:rsidRPr="000477DE">
        <w:rPr>
          <w:rFonts w:cs="Arial"/>
          <w:lang w:val="hr-HR"/>
        </w:rPr>
        <w:t xml:space="preserve"> </w:t>
      </w:r>
      <w:r w:rsidRPr="00C62C6A">
        <w:rPr>
          <w:rFonts w:cs="Arial"/>
        </w:rPr>
        <w:t>je</w:t>
      </w:r>
      <w:r w:rsidRPr="000477DE">
        <w:rPr>
          <w:rFonts w:cs="Arial"/>
          <w:lang w:val="hr-HR"/>
        </w:rPr>
        <w:t xml:space="preserve"> </w:t>
      </w:r>
      <w:r w:rsidRPr="00C62C6A">
        <w:rPr>
          <w:rFonts w:cs="Arial"/>
        </w:rPr>
        <w:t>ujedno</w:t>
      </w:r>
      <w:r w:rsidRPr="000477DE">
        <w:rPr>
          <w:rFonts w:cs="Arial"/>
          <w:lang w:val="hr-HR"/>
        </w:rPr>
        <w:t xml:space="preserve"> </w:t>
      </w:r>
      <w:r w:rsidRPr="00C62C6A">
        <w:rPr>
          <w:rFonts w:cs="Arial"/>
        </w:rPr>
        <w:t>i</w:t>
      </w:r>
      <w:r w:rsidRPr="000477DE">
        <w:rPr>
          <w:rFonts w:cs="Arial"/>
          <w:lang w:val="hr-HR"/>
        </w:rPr>
        <w:t xml:space="preserve"> č</w:t>
      </w:r>
      <w:r w:rsidRPr="00C62C6A">
        <w:rPr>
          <w:rFonts w:cs="Arial"/>
        </w:rPr>
        <w:t>lan</w:t>
      </w:r>
      <w:r w:rsidRPr="000477DE">
        <w:rPr>
          <w:rFonts w:cs="Arial"/>
          <w:lang w:val="hr-HR"/>
        </w:rPr>
        <w:t xml:space="preserve"> </w:t>
      </w:r>
      <w:r w:rsidRPr="00C62C6A">
        <w:rPr>
          <w:rFonts w:cs="Arial"/>
        </w:rPr>
        <w:t>Odbora</w:t>
      </w:r>
      <w:r w:rsidRPr="000477DE">
        <w:rPr>
          <w:rFonts w:cs="Arial"/>
          <w:lang w:val="hr-HR"/>
        </w:rPr>
        <w:t xml:space="preserve"> </w:t>
      </w:r>
      <w:r w:rsidRPr="00C62C6A">
        <w:rPr>
          <w:rFonts w:cs="Arial"/>
        </w:rPr>
        <w:t>za</w:t>
      </w:r>
      <w:r w:rsidRPr="000477DE">
        <w:rPr>
          <w:rFonts w:cs="Arial"/>
          <w:lang w:val="hr-HR"/>
        </w:rPr>
        <w:t xml:space="preserve"> </w:t>
      </w:r>
      <w:r w:rsidRPr="00C62C6A">
        <w:rPr>
          <w:rFonts w:cs="Arial"/>
        </w:rPr>
        <w:t>reviziju</w:t>
      </w:r>
      <w:r w:rsidRPr="000477DE">
        <w:rPr>
          <w:rFonts w:cs="Arial"/>
          <w:lang w:val="hr-HR"/>
        </w:rPr>
        <w:t xml:space="preserve"> </w:t>
      </w:r>
      <w:r w:rsidRPr="00C62C6A">
        <w:rPr>
          <w:rFonts w:cs="Arial"/>
        </w:rPr>
        <w:t>Nadzornog</w:t>
      </w:r>
      <w:r w:rsidRPr="000477DE">
        <w:rPr>
          <w:rFonts w:cs="Arial"/>
          <w:lang w:val="hr-HR"/>
        </w:rPr>
        <w:t xml:space="preserve"> </w:t>
      </w:r>
      <w:r w:rsidRPr="00C62C6A">
        <w:rPr>
          <w:rFonts w:cs="Arial"/>
        </w:rPr>
        <w:t>odbora</w:t>
      </w:r>
      <w:r w:rsidRPr="000477DE">
        <w:rPr>
          <w:rFonts w:cs="Arial"/>
          <w:lang w:val="hr-HR"/>
        </w:rPr>
        <w:t xml:space="preserve"> </w:t>
      </w:r>
      <w:r w:rsidRPr="00C62C6A">
        <w:rPr>
          <w:rFonts w:cs="Arial"/>
        </w:rPr>
        <w:t>iznosi</w:t>
      </w:r>
      <w:r w:rsidRPr="000477DE">
        <w:rPr>
          <w:rFonts w:cs="Arial"/>
          <w:lang w:val="hr-HR"/>
        </w:rPr>
        <w:t xml:space="preserve"> 1,25 </w:t>
      </w:r>
      <w:r w:rsidRPr="00C62C6A">
        <w:rPr>
          <w:rFonts w:cs="Arial"/>
        </w:rPr>
        <w:t>prosje</w:t>
      </w:r>
      <w:r w:rsidRPr="000477DE">
        <w:rPr>
          <w:rFonts w:cs="Arial"/>
          <w:lang w:val="hr-HR"/>
        </w:rPr>
        <w:t>č</w:t>
      </w:r>
      <w:r w:rsidRPr="00C62C6A">
        <w:rPr>
          <w:rFonts w:cs="Arial"/>
        </w:rPr>
        <w:t>ne</w:t>
      </w:r>
      <w:r w:rsidRPr="000477DE">
        <w:rPr>
          <w:rFonts w:cs="Arial"/>
          <w:lang w:val="hr-HR"/>
        </w:rPr>
        <w:t xml:space="preserve"> </w:t>
      </w:r>
      <w:r w:rsidRPr="00C62C6A">
        <w:rPr>
          <w:rFonts w:cs="Arial"/>
        </w:rPr>
        <w:t>pla</w:t>
      </w:r>
      <w:r w:rsidRPr="000477DE">
        <w:rPr>
          <w:rFonts w:cs="Arial"/>
          <w:lang w:val="hr-HR"/>
        </w:rPr>
        <w:t>ć</w:t>
      </w:r>
      <w:r w:rsidRPr="00C62C6A">
        <w:rPr>
          <w:rFonts w:cs="Arial"/>
        </w:rPr>
        <w:t>e</w:t>
      </w:r>
      <w:r w:rsidRPr="000477DE">
        <w:rPr>
          <w:rFonts w:cs="Arial"/>
          <w:lang w:val="hr-HR"/>
        </w:rPr>
        <w:t xml:space="preserve"> </w:t>
      </w:r>
      <w:r w:rsidRPr="00C62C6A">
        <w:rPr>
          <w:rFonts w:cs="Arial"/>
        </w:rPr>
        <w:t>zaposlenika</w:t>
      </w:r>
      <w:r w:rsidRPr="000477DE">
        <w:rPr>
          <w:rFonts w:cs="Arial"/>
          <w:lang w:val="hr-HR"/>
        </w:rPr>
        <w:t xml:space="preserve"> </w:t>
      </w:r>
      <w:r w:rsidRPr="00C62C6A">
        <w:rPr>
          <w:rFonts w:cs="Arial"/>
        </w:rPr>
        <w:t>Dru</w:t>
      </w:r>
      <w:r w:rsidRPr="000477DE">
        <w:rPr>
          <w:rFonts w:cs="Arial"/>
          <w:lang w:val="hr-HR"/>
        </w:rPr>
        <w:t>š</w:t>
      </w:r>
      <w:r w:rsidRPr="00C62C6A">
        <w:rPr>
          <w:rFonts w:cs="Arial"/>
        </w:rPr>
        <w:t>tva</w:t>
      </w:r>
      <w:r w:rsidRPr="000477DE">
        <w:rPr>
          <w:rFonts w:cs="Arial"/>
          <w:lang w:val="hr-HR"/>
        </w:rPr>
        <w:t xml:space="preserve"> </w:t>
      </w:r>
      <w:r w:rsidRPr="00C62C6A">
        <w:rPr>
          <w:rFonts w:cs="Arial"/>
        </w:rPr>
        <w:t>ispla</w:t>
      </w:r>
      <w:r w:rsidRPr="000477DE">
        <w:rPr>
          <w:rFonts w:cs="Arial"/>
          <w:lang w:val="hr-HR"/>
        </w:rPr>
        <w:t>ć</w:t>
      </w:r>
      <w:r w:rsidRPr="00C62C6A">
        <w:rPr>
          <w:rFonts w:cs="Arial"/>
        </w:rPr>
        <w:t>ene</w:t>
      </w:r>
      <w:r w:rsidRPr="000477DE">
        <w:rPr>
          <w:rFonts w:cs="Arial"/>
          <w:lang w:val="hr-HR"/>
        </w:rPr>
        <w:t xml:space="preserve"> </w:t>
      </w:r>
      <w:r w:rsidRPr="00C62C6A">
        <w:rPr>
          <w:rFonts w:cs="Arial"/>
        </w:rPr>
        <w:t>u</w:t>
      </w:r>
      <w:r w:rsidRPr="000477DE">
        <w:rPr>
          <w:rFonts w:cs="Arial"/>
          <w:lang w:val="hr-HR"/>
        </w:rPr>
        <w:t xml:space="preserve"> </w:t>
      </w:r>
      <w:r w:rsidRPr="00C62C6A">
        <w:rPr>
          <w:rFonts w:cs="Arial"/>
        </w:rPr>
        <w:t>prethodnom</w:t>
      </w:r>
      <w:r w:rsidRPr="000477DE">
        <w:rPr>
          <w:rFonts w:cs="Arial"/>
          <w:lang w:val="hr-HR"/>
        </w:rPr>
        <w:t xml:space="preserve"> </w:t>
      </w:r>
      <w:r w:rsidRPr="00C62C6A">
        <w:rPr>
          <w:rFonts w:cs="Arial"/>
        </w:rPr>
        <w:t>mjesecu</w:t>
      </w:r>
      <w:r w:rsidRPr="000477DE">
        <w:rPr>
          <w:rFonts w:cs="Arial"/>
          <w:lang w:val="hr-HR"/>
        </w:rPr>
        <w:t xml:space="preserve">. </w:t>
      </w:r>
      <w:r w:rsidRPr="00C62C6A">
        <w:rPr>
          <w:rFonts w:cs="Arial"/>
        </w:rPr>
        <w:t>Naknada</w:t>
      </w:r>
      <w:r w:rsidRPr="000477DE">
        <w:rPr>
          <w:rFonts w:cs="Arial"/>
          <w:lang w:val="hr-HR"/>
        </w:rPr>
        <w:t xml:space="preserve"> č</w:t>
      </w:r>
      <w:r w:rsidRPr="00C62C6A">
        <w:rPr>
          <w:rFonts w:cs="Arial"/>
        </w:rPr>
        <w:t>lanu</w:t>
      </w:r>
      <w:r w:rsidRPr="000477DE">
        <w:rPr>
          <w:rFonts w:cs="Arial"/>
          <w:lang w:val="hr-HR"/>
        </w:rPr>
        <w:t xml:space="preserve"> </w:t>
      </w:r>
      <w:r w:rsidRPr="00C62C6A">
        <w:rPr>
          <w:rFonts w:cs="Arial"/>
        </w:rPr>
        <w:t>Nadzornog</w:t>
      </w:r>
      <w:r w:rsidRPr="000477DE">
        <w:rPr>
          <w:rFonts w:cs="Arial"/>
          <w:lang w:val="hr-HR"/>
        </w:rPr>
        <w:t xml:space="preserve"> </w:t>
      </w:r>
      <w:r w:rsidRPr="00C62C6A">
        <w:rPr>
          <w:rFonts w:cs="Arial"/>
        </w:rPr>
        <w:t>odbora</w:t>
      </w:r>
      <w:r w:rsidRPr="000477DE">
        <w:rPr>
          <w:rFonts w:cs="Arial"/>
          <w:lang w:val="hr-HR"/>
        </w:rPr>
        <w:t xml:space="preserve"> </w:t>
      </w:r>
      <w:r w:rsidRPr="00C62C6A">
        <w:rPr>
          <w:rFonts w:cs="Arial"/>
        </w:rPr>
        <w:t>koji</w:t>
      </w:r>
      <w:r w:rsidRPr="000477DE">
        <w:rPr>
          <w:rFonts w:cs="Arial"/>
          <w:lang w:val="hr-HR"/>
        </w:rPr>
        <w:t xml:space="preserve"> </w:t>
      </w:r>
      <w:r w:rsidRPr="00C62C6A">
        <w:rPr>
          <w:rFonts w:cs="Arial"/>
        </w:rPr>
        <w:t>je</w:t>
      </w:r>
      <w:r w:rsidRPr="000477DE">
        <w:rPr>
          <w:rFonts w:cs="Arial"/>
          <w:lang w:val="hr-HR"/>
        </w:rPr>
        <w:t xml:space="preserve"> </w:t>
      </w:r>
      <w:r w:rsidRPr="00C62C6A">
        <w:rPr>
          <w:rFonts w:cs="Arial"/>
        </w:rPr>
        <w:t>ujedno</w:t>
      </w:r>
      <w:r w:rsidRPr="000477DE">
        <w:rPr>
          <w:rFonts w:cs="Arial"/>
          <w:lang w:val="hr-HR"/>
        </w:rPr>
        <w:t xml:space="preserve"> </w:t>
      </w:r>
      <w:r w:rsidRPr="00C62C6A">
        <w:rPr>
          <w:rFonts w:cs="Arial"/>
        </w:rPr>
        <w:t>i</w:t>
      </w:r>
      <w:r w:rsidRPr="000477DE">
        <w:rPr>
          <w:rFonts w:cs="Arial"/>
          <w:lang w:val="hr-HR"/>
        </w:rPr>
        <w:t xml:space="preserve"> č</w:t>
      </w:r>
      <w:r w:rsidRPr="00C62C6A">
        <w:rPr>
          <w:rFonts w:cs="Arial"/>
        </w:rPr>
        <w:t>lan</w:t>
      </w:r>
      <w:r w:rsidRPr="000477DE">
        <w:rPr>
          <w:rFonts w:cs="Arial"/>
          <w:lang w:val="hr-HR"/>
        </w:rPr>
        <w:t xml:space="preserve"> </w:t>
      </w:r>
      <w:r w:rsidRPr="00C62C6A">
        <w:rPr>
          <w:rFonts w:cs="Arial"/>
        </w:rPr>
        <w:t>Odbora</w:t>
      </w:r>
      <w:r w:rsidRPr="000477DE">
        <w:rPr>
          <w:rFonts w:cs="Arial"/>
          <w:lang w:val="hr-HR"/>
        </w:rPr>
        <w:t xml:space="preserve"> </w:t>
      </w:r>
      <w:r w:rsidRPr="00C62C6A">
        <w:rPr>
          <w:rFonts w:cs="Arial"/>
        </w:rPr>
        <w:t>za</w:t>
      </w:r>
      <w:r w:rsidRPr="000477DE">
        <w:rPr>
          <w:rFonts w:cs="Arial"/>
          <w:lang w:val="hr-HR"/>
        </w:rPr>
        <w:t xml:space="preserve"> </w:t>
      </w:r>
      <w:r w:rsidRPr="00C62C6A">
        <w:rPr>
          <w:rFonts w:cs="Arial"/>
        </w:rPr>
        <w:t>naknade</w:t>
      </w:r>
      <w:r w:rsidRPr="000477DE">
        <w:rPr>
          <w:rFonts w:cs="Arial"/>
          <w:lang w:val="hr-HR"/>
        </w:rPr>
        <w:t xml:space="preserve"> </w:t>
      </w:r>
      <w:r w:rsidRPr="00C62C6A">
        <w:rPr>
          <w:rFonts w:cs="Arial"/>
        </w:rPr>
        <w:t>i</w:t>
      </w:r>
      <w:r w:rsidRPr="000477DE">
        <w:rPr>
          <w:rFonts w:cs="Arial"/>
          <w:lang w:val="hr-HR"/>
        </w:rPr>
        <w:t xml:space="preserve"> </w:t>
      </w:r>
      <w:r w:rsidRPr="00C62C6A">
        <w:rPr>
          <w:rFonts w:cs="Arial"/>
        </w:rPr>
        <w:t>imenovanja</w:t>
      </w:r>
      <w:r w:rsidRPr="000477DE">
        <w:rPr>
          <w:rFonts w:cs="Arial"/>
          <w:lang w:val="hr-HR"/>
        </w:rPr>
        <w:t xml:space="preserve"> </w:t>
      </w:r>
      <w:r w:rsidRPr="00C62C6A">
        <w:rPr>
          <w:rFonts w:cs="Arial"/>
        </w:rPr>
        <w:t>Nadzornog</w:t>
      </w:r>
      <w:r w:rsidRPr="000477DE">
        <w:rPr>
          <w:rFonts w:cs="Arial"/>
          <w:lang w:val="hr-HR"/>
        </w:rPr>
        <w:t xml:space="preserve"> </w:t>
      </w:r>
      <w:r w:rsidRPr="00C62C6A">
        <w:rPr>
          <w:rFonts w:cs="Arial"/>
        </w:rPr>
        <w:t>odbora</w:t>
      </w:r>
      <w:r w:rsidRPr="000477DE">
        <w:rPr>
          <w:rFonts w:cs="Arial"/>
          <w:lang w:val="hr-HR"/>
        </w:rPr>
        <w:t xml:space="preserve"> </w:t>
      </w:r>
      <w:r w:rsidRPr="00C62C6A">
        <w:rPr>
          <w:rFonts w:cs="Arial"/>
        </w:rPr>
        <w:t>iznosi</w:t>
      </w:r>
      <w:r w:rsidRPr="000477DE">
        <w:rPr>
          <w:rFonts w:cs="Arial"/>
          <w:lang w:val="hr-HR"/>
        </w:rPr>
        <w:t xml:space="preserve"> 1,25 </w:t>
      </w:r>
      <w:r w:rsidRPr="00C62C6A">
        <w:rPr>
          <w:rFonts w:cs="Arial"/>
        </w:rPr>
        <w:t>prosje</w:t>
      </w:r>
      <w:r w:rsidRPr="000477DE">
        <w:rPr>
          <w:rFonts w:cs="Arial"/>
          <w:lang w:val="hr-HR"/>
        </w:rPr>
        <w:t>č</w:t>
      </w:r>
      <w:r w:rsidRPr="00C62C6A">
        <w:rPr>
          <w:rFonts w:cs="Arial"/>
        </w:rPr>
        <w:t>ne</w:t>
      </w:r>
      <w:r w:rsidRPr="000477DE">
        <w:rPr>
          <w:rFonts w:cs="Arial"/>
          <w:lang w:val="hr-HR"/>
        </w:rPr>
        <w:t xml:space="preserve"> </w:t>
      </w:r>
      <w:r w:rsidRPr="00C62C6A">
        <w:rPr>
          <w:rFonts w:cs="Arial"/>
        </w:rPr>
        <w:t>pla</w:t>
      </w:r>
      <w:r w:rsidRPr="000477DE">
        <w:rPr>
          <w:rFonts w:cs="Arial"/>
          <w:lang w:val="hr-HR"/>
        </w:rPr>
        <w:t>ć</w:t>
      </w:r>
      <w:r w:rsidRPr="00C62C6A">
        <w:rPr>
          <w:rFonts w:cs="Arial"/>
        </w:rPr>
        <w:t>e</w:t>
      </w:r>
      <w:r w:rsidRPr="000477DE">
        <w:rPr>
          <w:rFonts w:cs="Arial"/>
          <w:lang w:val="hr-HR"/>
        </w:rPr>
        <w:t xml:space="preserve"> </w:t>
      </w:r>
      <w:r w:rsidRPr="00C62C6A">
        <w:rPr>
          <w:rFonts w:cs="Arial"/>
        </w:rPr>
        <w:t>zaposlenika</w:t>
      </w:r>
      <w:r w:rsidRPr="000477DE">
        <w:rPr>
          <w:rFonts w:cs="Arial"/>
          <w:lang w:val="hr-HR"/>
        </w:rPr>
        <w:t xml:space="preserve"> </w:t>
      </w:r>
      <w:r w:rsidRPr="00C62C6A">
        <w:rPr>
          <w:rFonts w:cs="Arial"/>
        </w:rPr>
        <w:t>Dru</w:t>
      </w:r>
      <w:r w:rsidRPr="000477DE">
        <w:rPr>
          <w:rFonts w:cs="Arial"/>
          <w:lang w:val="hr-HR"/>
        </w:rPr>
        <w:t>š</w:t>
      </w:r>
      <w:r w:rsidRPr="00C62C6A">
        <w:rPr>
          <w:rFonts w:cs="Arial"/>
        </w:rPr>
        <w:t>tva</w:t>
      </w:r>
      <w:r w:rsidRPr="000477DE">
        <w:rPr>
          <w:rFonts w:cs="Arial"/>
          <w:lang w:val="hr-HR"/>
        </w:rPr>
        <w:t xml:space="preserve"> </w:t>
      </w:r>
      <w:r w:rsidRPr="00C62C6A">
        <w:rPr>
          <w:rFonts w:cs="Arial"/>
        </w:rPr>
        <w:t>ispla</w:t>
      </w:r>
      <w:r w:rsidRPr="000477DE">
        <w:rPr>
          <w:rFonts w:cs="Arial"/>
          <w:lang w:val="hr-HR"/>
        </w:rPr>
        <w:t>ć</w:t>
      </w:r>
      <w:r w:rsidRPr="00C62C6A">
        <w:rPr>
          <w:rFonts w:cs="Arial"/>
        </w:rPr>
        <w:t>ene</w:t>
      </w:r>
      <w:r w:rsidRPr="000477DE">
        <w:rPr>
          <w:rFonts w:cs="Arial"/>
          <w:lang w:val="hr-HR"/>
        </w:rPr>
        <w:t xml:space="preserve"> </w:t>
      </w:r>
      <w:r w:rsidRPr="00C62C6A">
        <w:rPr>
          <w:rFonts w:cs="Arial"/>
        </w:rPr>
        <w:t>u</w:t>
      </w:r>
      <w:r w:rsidRPr="000477DE">
        <w:rPr>
          <w:rFonts w:cs="Arial"/>
          <w:lang w:val="hr-HR"/>
        </w:rPr>
        <w:t xml:space="preserve"> </w:t>
      </w:r>
      <w:r w:rsidRPr="00C62C6A">
        <w:rPr>
          <w:rFonts w:cs="Arial"/>
        </w:rPr>
        <w:t>prethodnom</w:t>
      </w:r>
      <w:r w:rsidRPr="000477DE">
        <w:rPr>
          <w:rFonts w:cs="Arial"/>
          <w:lang w:val="hr-HR"/>
        </w:rPr>
        <w:t xml:space="preserve"> </w:t>
      </w:r>
      <w:r w:rsidRPr="00C62C6A">
        <w:rPr>
          <w:rFonts w:cs="Arial"/>
        </w:rPr>
        <w:t>mjesecu</w:t>
      </w:r>
      <w:r w:rsidRPr="000477DE">
        <w:rPr>
          <w:rFonts w:cs="Arial"/>
          <w:lang w:val="hr-HR"/>
        </w:rPr>
        <w:t xml:space="preserve">. </w:t>
      </w:r>
      <w:r>
        <w:rPr>
          <w:rFonts w:cs="Arial"/>
        </w:rPr>
        <w:t>S</w:t>
      </w:r>
      <w:r w:rsidRPr="00B04E3E">
        <w:rPr>
          <w:rFonts w:cs="Arial"/>
        </w:rPr>
        <w:t>ukladno</w:t>
      </w:r>
      <w:r w:rsidRPr="000477DE">
        <w:rPr>
          <w:rFonts w:cs="Arial"/>
          <w:lang w:val="hr-HR"/>
        </w:rPr>
        <w:t xml:space="preserve"> </w:t>
      </w:r>
      <w:r w:rsidRPr="00B04E3E">
        <w:rPr>
          <w:rFonts w:cs="Arial"/>
        </w:rPr>
        <w:t>politici</w:t>
      </w:r>
      <w:r w:rsidRPr="000477DE">
        <w:rPr>
          <w:rFonts w:cs="Arial"/>
          <w:lang w:val="hr-HR"/>
        </w:rPr>
        <w:t xml:space="preserve"> </w:t>
      </w:r>
      <w:r w:rsidRPr="00B04E3E">
        <w:rPr>
          <w:rFonts w:cs="Arial"/>
        </w:rPr>
        <w:t>DTAG</w:t>
      </w:r>
      <w:r w:rsidRPr="000477DE">
        <w:rPr>
          <w:rFonts w:cs="Arial"/>
          <w:lang w:val="hr-HR"/>
        </w:rPr>
        <w:t>-</w:t>
      </w:r>
      <w:r w:rsidRPr="00B04E3E">
        <w:rPr>
          <w:rFonts w:cs="Arial"/>
        </w:rPr>
        <w:t>a</w:t>
      </w:r>
      <w:r w:rsidRPr="000477DE">
        <w:rPr>
          <w:rFonts w:cs="Arial"/>
          <w:lang w:val="hr-HR"/>
        </w:rPr>
        <w:t xml:space="preserve">, </w:t>
      </w:r>
      <w:r w:rsidRPr="00B04E3E">
        <w:rPr>
          <w:rFonts w:cs="Arial"/>
        </w:rPr>
        <w:t>predstavnici</w:t>
      </w:r>
      <w:r w:rsidRPr="000477DE">
        <w:rPr>
          <w:rFonts w:cs="Arial"/>
          <w:lang w:val="hr-HR"/>
        </w:rPr>
        <w:t xml:space="preserve"> </w:t>
      </w:r>
      <w:r w:rsidRPr="00B04E3E">
        <w:rPr>
          <w:rFonts w:cs="Arial"/>
        </w:rPr>
        <w:t>DTAG</w:t>
      </w:r>
      <w:r w:rsidRPr="000477DE">
        <w:rPr>
          <w:rFonts w:cs="Arial"/>
          <w:lang w:val="hr-HR"/>
        </w:rPr>
        <w:t>-</w:t>
      </w:r>
      <w:r w:rsidRPr="00B04E3E">
        <w:rPr>
          <w:rFonts w:cs="Arial"/>
        </w:rPr>
        <w:t>a</w:t>
      </w:r>
      <w:r w:rsidRPr="000477DE">
        <w:rPr>
          <w:rFonts w:cs="Arial"/>
          <w:lang w:val="hr-HR"/>
        </w:rPr>
        <w:t xml:space="preserve"> </w:t>
      </w:r>
      <w:r w:rsidRPr="00B04E3E">
        <w:rPr>
          <w:rFonts w:cs="Arial"/>
        </w:rPr>
        <w:t>ne</w:t>
      </w:r>
      <w:r w:rsidRPr="000477DE">
        <w:rPr>
          <w:rFonts w:cs="Arial"/>
          <w:lang w:val="hr-HR"/>
        </w:rPr>
        <w:t xml:space="preserve"> </w:t>
      </w:r>
      <w:r w:rsidRPr="00B04E3E">
        <w:rPr>
          <w:rFonts w:cs="Arial"/>
        </w:rPr>
        <w:t>dobivaju</w:t>
      </w:r>
      <w:r w:rsidRPr="000477DE">
        <w:rPr>
          <w:rFonts w:cs="Arial"/>
          <w:lang w:val="hr-HR"/>
        </w:rPr>
        <w:t xml:space="preserve"> </w:t>
      </w:r>
      <w:r w:rsidRPr="00B04E3E">
        <w:rPr>
          <w:rFonts w:cs="Arial"/>
        </w:rPr>
        <w:t>naknadu</w:t>
      </w:r>
      <w:r w:rsidRPr="000477DE">
        <w:rPr>
          <w:rFonts w:cs="Arial"/>
          <w:lang w:val="hr-HR"/>
        </w:rPr>
        <w:t xml:space="preserve"> </w:t>
      </w:r>
      <w:r w:rsidRPr="00B04E3E">
        <w:rPr>
          <w:rFonts w:cs="Arial"/>
        </w:rPr>
        <w:t>za</w:t>
      </w:r>
      <w:r w:rsidRPr="000477DE">
        <w:rPr>
          <w:rFonts w:cs="Arial"/>
          <w:lang w:val="hr-HR"/>
        </w:rPr>
        <w:t xml:space="preserve"> č</w:t>
      </w:r>
      <w:r w:rsidRPr="00B04E3E">
        <w:rPr>
          <w:rFonts w:cs="Arial"/>
        </w:rPr>
        <w:t>lanstvo</w:t>
      </w:r>
      <w:r w:rsidRPr="000477DE">
        <w:rPr>
          <w:rFonts w:cs="Arial"/>
          <w:lang w:val="hr-HR"/>
        </w:rPr>
        <w:t xml:space="preserve"> </w:t>
      </w:r>
      <w:r w:rsidRPr="00B04E3E">
        <w:rPr>
          <w:rFonts w:cs="Arial"/>
        </w:rPr>
        <w:t>u</w:t>
      </w:r>
      <w:r w:rsidRPr="000477DE">
        <w:rPr>
          <w:rFonts w:cs="Arial"/>
          <w:lang w:val="hr-HR"/>
        </w:rPr>
        <w:t xml:space="preserve"> </w:t>
      </w:r>
      <w:r w:rsidRPr="00B04E3E">
        <w:rPr>
          <w:rFonts w:cs="Arial"/>
        </w:rPr>
        <w:t>Nadzornom</w:t>
      </w:r>
      <w:r w:rsidRPr="000477DE">
        <w:rPr>
          <w:rFonts w:cs="Arial"/>
          <w:lang w:val="hr-HR"/>
        </w:rPr>
        <w:t xml:space="preserve"> </w:t>
      </w:r>
      <w:r w:rsidRPr="00B04E3E">
        <w:rPr>
          <w:rFonts w:cs="Arial"/>
        </w:rPr>
        <w:t>odboru</w:t>
      </w:r>
      <w:r w:rsidRPr="000477DE">
        <w:rPr>
          <w:rFonts w:cs="Arial"/>
          <w:lang w:val="hr-HR"/>
        </w:rPr>
        <w:t>.</w:t>
      </w:r>
    </w:p>
    <w:p w:rsidR="003E4626" w:rsidRPr="00B87759" w:rsidRDefault="003E4626" w:rsidP="00BA5338">
      <w:pPr>
        <w:pStyle w:val="T3"/>
        <w:rPr>
          <w:sz w:val="20"/>
        </w:rPr>
      </w:pPr>
      <w:r w:rsidRPr="00B87759">
        <w:rPr>
          <w:sz w:val="20"/>
        </w:rPr>
        <w:t xml:space="preserve">U </w:t>
      </w:r>
      <w:r>
        <w:rPr>
          <w:snapToGrid w:val="0"/>
          <w:sz w:val="20"/>
        </w:rPr>
        <w:t>prvih devet mjeseci 2011</w:t>
      </w:r>
      <w:r w:rsidRPr="00B87759">
        <w:rPr>
          <w:snapToGrid w:val="0"/>
          <w:sz w:val="20"/>
        </w:rPr>
        <w:t>.</w:t>
      </w:r>
      <w:r w:rsidRPr="00B87759">
        <w:rPr>
          <w:sz w:val="20"/>
        </w:rPr>
        <w:t xml:space="preserve"> godine Društvo </w:t>
      </w:r>
      <w:r>
        <w:rPr>
          <w:sz w:val="20"/>
        </w:rPr>
        <w:t>je isplatilo ukupan iznos od 0,5</w:t>
      </w:r>
      <w:r w:rsidRPr="00B87759">
        <w:rPr>
          <w:sz w:val="20"/>
        </w:rPr>
        <w:t xml:space="preserve"> milijuna kuna (</w:t>
      </w:r>
      <w:r>
        <w:rPr>
          <w:snapToGrid w:val="0"/>
          <w:sz w:val="20"/>
        </w:rPr>
        <w:t>prvih devet mjeseci 2010</w:t>
      </w:r>
      <w:r>
        <w:rPr>
          <w:sz w:val="20"/>
        </w:rPr>
        <w:t>. godine 0,5</w:t>
      </w:r>
      <w:r w:rsidRPr="00B87759">
        <w:rPr>
          <w:sz w:val="20"/>
        </w:rPr>
        <w:t xml:space="preserve"> milijuna kuna) članovima Nadzornog Odbora. Društvo nije dalo kredite članovima Nadzornog Odbora.</w:t>
      </w:r>
    </w:p>
    <w:p w:rsidR="003E4626" w:rsidRPr="00181953" w:rsidRDefault="003E4626" w:rsidP="00BA5338">
      <w:pPr>
        <w:pStyle w:val="T10"/>
        <w:rPr>
          <w:rFonts w:cs="Arial"/>
          <w:i/>
          <w:snapToGrid w:val="0"/>
          <w:sz w:val="20"/>
          <w:lang w:val="hr-HR"/>
        </w:rPr>
      </w:pPr>
      <w:r w:rsidRPr="002568A7">
        <w:rPr>
          <w:rFonts w:cs="Arial"/>
          <w:i/>
          <w:sz w:val="20"/>
        </w:rPr>
        <w:t>Naknade</w:t>
      </w:r>
      <w:r w:rsidRPr="00181953">
        <w:rPr>
          <w:rFonts w:cs="Arial"/>
          <w:i/>
          <w:snapToGrid w:val="0"/>
          <w:sz w:val="20"/>
          <w:lang w:val="hr-HR"/>
        </w:rPr>
        <w:t xml:space="preserve"> </w:t>
      </w:r>
      <w:r w:rsidRPr="002568A7">
        <w:rPr>
          <w:rFonts w:cs="Arial"/>
          <w:i/>
          <w:snapToGrid w:val="0"/>
          <w:sz w:val="20"/>
        </w:rPr>
        <w:t>ispla</w:t>
      </w:r>
      <w:r w:rsidRPr="00181953">
        <w:rPr>
          <w:rFonts w:cs="Arial"/>
          <w:i/>
          <w:snapToGrid w:val="0"/>
          <w:sz w:val="20"/>
          <w:lang w:val="hr-HR"/>
        </w:rPr>
        <w:t>ć</w:t>
      </w:r>
      <w:r w:rsidRPr="002568A7">
        <w:rPr>
          <w:rFonts w:cs="Arial"/>
          <w:i/>
          <w:snapToGrid w:val="0"/>
          <w:sz w:val="20"/>
        </w:rPr>
        <w:t>ene</w:t>
      </w:r>
      <w:r w:rsidRPr="00181953">
        <w:rPr>
          <w:rFonts w:cs="Arial"/>
          <w:i/>
          <w:snapToGrid w:val="0"/>
          <w:sz w:val="20"/>
          <w:lang w:val="hr-HR"/>
        </w:rPr>
        <w:t xml:space="preserve"> </w:t>
      </w:r>
      <w:r w:rsidRPr="002568A7">
        <w:rPr>
          <w:rFonts w:cs="Arial"/>
          <w:i/>
          <w:snapToGrid w:val="0"/>
          <w:sz w:val="20"/>
        </w:rPr>
        <w:t>klju</w:t>
      </w:r>
      <w:r w:rsidRPr="00181953">
        <w:rPr>
          <w:rFonts w:cs="Arial"/>
          <w:i/>
          <w:snapToGrid w:val="0"/>
          <w:sz w:val="20"/>
          <w:lang w:val="hr-HR"/>
        </w:rPr>
        <w:t>č</w:t>
      </w:r>
      <w:r w:rsidRPr="002568A7">
        <w:rPr>
          <w:rFonts w:cs="Arial"/>
          <w:i/>
          <w:snapToGrid w:val="0"/>
          <w:sz w:val="20"/>
        </w:rPr>
        <w:t>nim</w:t>
      </w:r>
      <w:r w:rsidRPr="00181953">
        <w:rPr>
          <w:rFonts w:cs="Arial"/>
          <w:i/>
          <w:snapToGrid w:val="0"/>
          <w:sz w:val="20"/>
          <w:lang w:val="hr-HR"/>
        </w:rPr>
        <w:t xml:space="preserve"> č</w:t>
      </w:r>
      <w:r w:rsidRPr="002568A7">
        <w:rPr>
          <w:rFonts w:cs="Arial"/>
          <w:i/>
          <w:snapToGrid w:val="0"/>
          <w:sz w:val="20"/>
        </w:rPr>
        <w:t>lanovima</w:t>
      </w:r>
      <w:r w:rsidRPr="00181953">
        <w:rPr>
          <w:rFonts w:cs="Arial"/>
          <w:i/>
          <w:snapToGrid w:val="0"/>
          <w:sz w:val="20"/>
          <w:lang w:val="hr-HR"/>
        </w:rPr>
        <w:t xml:space="preserve"> </w:t>
      </w:r>
      <w:r w:rsidRPr="002568A7">
        <w:rPr>
          <w:rFonts w:cs="Arial"/>
          <w:i/>
          <w:snapToGrid w:val="0"/>
          <w:sz w:val="20"/>
        </w:rPr>
        <w:t>menad</w:t>
      </w:r>
      <w:r w:rsidRPr="00181953">
        <w:rPr>
          <w:rFonts w:cs="Arial"/>
          <w:i/>
          <w:snapToGrid w:val="0"/>
          <w:sz w:val="20"/>
          <w:lang w:val="hr-HR"/>
        </w:rPr>
        <w:t>ž</w:t>
      </w:r>
      <w:r w:rsidRPr="002568A7">
        <w:rPr>
          <w:rFonts w:cs="Arial"/>
          <w:i/>
          <w:snapToGrid w:val="0"/>
          <w:sz w:val="20"/>
        </w:rPr>
        <w:t>menta</w:t>
      </w:r>
    </w:p>
    <w:p w:rsidR="003E4626" w:rsidRPr="00D2014D" w:rsidRDefault="003E4626" w:rsidP="00BA5338">
      <w:pPr>
        <w:pStyle w:val="T10"/>
        <w:spacing w:after="360"/>
        <w:rPr>
          <w:lang w:val="hr-HR"/>
        </w:rPr>
      </w:pPr>
      <w:r w:rsidRPr="00090152">
        <w:rPr>
          <w:rFonts w:cs="Arial"/>
          <w:snapToGrid w:val="0"/>
          <w:sz w:val="20"/>
        </w:rPr>
        <w:t>Ukupan</w:t>
      </w:r>
      <w:r w:rsidRPr="00090152">
        <w:rPr>
          <w:rFonts w:cs="Arial"/>
          <w:snapToGrid w:val="0"/>
          <w:sz w:val="20"/>
          <w:lang w:val="hr-HR"/>
        </w:rPr>
        <w:t xml:space="preserve"> </w:t>
      </w:r>
      <w:r w:rsidRPr="00090152">
        <w:rPr>
          <w:rFonts w:cs="Arial"/>
          <w:snapToGrid w:val="0"/>
          <w:sz w:val="20"/>
        </w:rPr>
        <w:t>iznos</w:t>
      </w:r>
      <w:r w:rsidRPr="00090152">
        <w:rPr>
          <w:rFonts w:cs="Arial"/>
          <w:snapToGrid w:val="0"/>
          <w:sz w:val="20"/>
          <w:lang w:val="hr-HR"/>
        </w:rPr>
        <w:t xml:space="preserve"> </w:t>
      </w:r>
      <w:r w:rsidRPr="00090152">
        <w:rPr>
          <w:rFonts w:cs="Arial"/>
          <w:snapToGrid w:val="0"/>
          <w:sz w:val="20"/>
        </w:rPr>
        <w:t>naknada</w:t>
      </w:r>
      <w:r w:rsidRPr="00090152">
        <w:rPr>
          <w:rFonts w:cs="Arial"/>
          <w:snapToGrid w:val="0"/>
          <w:sz w:val="20"/>
          <w:lang w:val="hr-HR"/>
        </w:rPr>
        <w:t xml:space="preserve"> </w:t>
      </w:r>
      <w:r w:rsidRPr="00090152">
        <w:rPr>
          <w:rFonts w:cs="Arial"/>
          <w:snapToGrid w:val="0"/>
          <w:sz w:val="20"/>
        </w:rPr>
        <w:t>klju</w:t>
      </w:r>
      <w:r w:rsidRPr="00090152">
        <w:rPr>
          <w:rFonts w:cs="Arial"/>
          <w:snapToGrid w:val="0"/>
          <w:sz w:val="20"/>
          <w:lang w:val="hr-HR"/>
        </w:rPr>
        <w:t>č</w:t>
      </w:r>
      <w:r w:rsidRPr="00090152">
        <w:rPr>
          <w:rFonts w:cs="Arial"/>
          <w:snapToGrid w:val="0"/>
          <w:sz w:val="20"/>
        </w:rPr>
        <w:t>nim</w:t>
      </w:r>
      <w:r w:rsidRPr="00090152">
        <w:rPr>
          <w:rFonts w:cs="Arial"/>
          <w:snapToGrid w:val="0"/>
          <w:sz w:val="20"/>
          <w:lang w:val="hr-HR"/>
        </w:rPr>
        <w:t xml:space="preserve"> č</w:t>
      </w:r>
      <w:r w:rsidRPr="00090152">
        <w:rPr>
          <w:rFonts w:cs="Arial"/>
          <w:snapToGrid w:val="0"/>
          <w:sz w:val="20"/>
        </w:rPr>
        <w:t>lanovima</w:t>
      </w:r>
      <w:r w:rsidRPr="00090152">
        <w:rPr>
          <w:rFonts w:cs="Arial"/>
          <w:snapToGrid w:val="0"/>
          <w:sz w:val="20"/>
          <w:lang w:val="hr-HR"/>
        </w:rPr>
        <w:t xml:space="preserve"> </w:t>
      </w:r>
      <w:r w:rsidRPr="00090152">
        <w:rPr>
          <w:rFonts w:cs="Arial"/>
          <w:snapToGrid w:val="0"/>
          <w:sz w:val="20"/>
        </w:rPr>
        <w:t>menad</w:t>
      </w:r>
      <w:r w:rsidRPr="00090152">
        <w:rPr>
          <w:rFonts w:cs="Arial"/>
          <w:snapToGrid w:val="0"/>
          <w:sz w:val="20"/>
          <w:lang w:val="hr-HR"/>
        </w:rPr>
        <w:t>ž</w:t>
      </w:r>
      <w:r w:rsidRPr="00090152">
        <w:rPr>
          <w:rFonts w:cs="Arial"/>
          <w:snapToGrid w:val="0"/>
          <w:sz w:val="20"/>
        </w:rPr>
        <w:t>menta</w:t>
      </w:r>
      <w:r w:rsidRPr="00090152">
        <w:rPr>
          <w:rFonts w:cs="Arial"/>
          <w:snapToGrid w:val="0"/>
          <w:sz w:val="20"/>
          <w:lang w:val="hr-HR"/>
        </w:rPr>
        <w:t xml:space="preserve"> </w:t>
      </w:r>
      <w:r w:rsidRPr="00090152">
        <w:rPr>
          <w:rFonts w:cs="Arial"/>
          <w:snapToGrid w:val="0"/>
          <w:sz w:val="20"/>
        </w:rPr>
        <w:t>Dru</w:t>
      </w:r>
      <w:r w:rsidRPr="00090152">
        <w:rPr>
          <w:rFonts w:cs="Arial"/>
          <w:snapToGrid w:val="0"/>
          <w:sz w:val="20"/>
          <w:lang w:val="hr-HR"/>
        </w:rPr>
        <w:t>š</w:t>
      </w:r>
      <w:r w:rsidRPr="00090152">
        <w:rPr>
          <w:rFonts w:cs="Arial"/>
          <w:snapToGrid w:val="0"/>
          <w:sz w:val="20"/>
        </w:rPr>
        <w:t>tva</w:t>
      </w:r>
      <w:r w:rsidRPr="00090152">
        <w:rPr>
          <w:rFonts w:cs="Arial"/>
          <w:snapToGrid w:val="0"/>
          <w:sz w:val="20"/>
          <w:lang w:val="hr-HR"/>
        </w:rPr>
        <w:t xml:space="preserve"> </w:t>
      </w:r>
      <w:r w:rsidRPr="00090152">
        <w:rPr>
          <w:rFonts w:cs="Arial"/>
          <w:snapToGrid w:val="0"/>
          <w:sz w:val="20"/>
        </w:rPr>
        <w:t>za</w:t>
      </w:r>
      <w:r w:rsidRPr="00090152">
        <w:rPr>
          <w:rFonts w:cs="Arial"/>
          <w:snapToGrid w:val="0"/>
          <w:sz w:val="20"/>
          <w:lang w:val="hr-HR"/>
        </w:rPr>
        <w:t xml:space="preserve"> </w:t>
      </w:r>
      <w:r w:rsidRPr="00090152">
        <w:rPr>
          <w:rFonts w:cs="Arial"/>
          <w:snapToGrid w:val="0"/>
          <w:sz w:val="20"/>
        </w:rPr>
        <w:t>prih</w:t>
      </w:r>
      <w:r w:rsidRPr="00090152">
        <w:rPr>
          <w:rFonts w:cs="Arial"/>
          <w:snapToGrid w:val="0"/>
          <w:sz w:val="20"/>
          <w:lang w:val="hr-HR"/>
        </w:rPr>
        <w:t xml:space="preserve"> </w:t>
      </w:r>
      <w:r>
        <w:rPr>
          <w:rFonts w:cs="Arial"/>
          <w:snapToGrid w:val="0"/>
          <w:sz w:val="20"/>
          <w:lang w:val="hr-HR"/>
        </w:rPr>
        <w:t>devet</w:t>
      </w:r>
      <w:r w:rsidRPr="00090152">
        <w:rPr>
          <w:rFonts w:cs="Arial"/>
          <w:snapToGrid w:val="0"/>
          <w:sz w:val="20"/>
          <w:lang w:val="hr-HR"/>
        </w:rPr>
        <w:t xml:space="preserve"> </w:t>
      </w:r>
      <w:r w:rsidRPr="00090152">
        <w:rPr>
          <w:rFonts w:cs="Arial"/>
          <w:snapToGrid w:val="0"/>
          <w:sz w:val="20"/>
        </w:rPr>
        <w:t>mjeseci</w:t>
      </w:r>
      <w:r w:rsidRPr="00090152">
        <w:rPr>
          <w:rFonts w:cs="Arial"/>
          <w:snapToGrid w:val="0"/>
          <w:sz w:val="20"/>
          <w:lang w:val="hr-HR"/>
        </w:rPr>
        <w:t xml:space="preserve"> 2011. </w:t>
      </w:r>
      <w:r w:rsidRPr="00090152">
        <w:rPr>
          <w:rFonts w:cs="Arial"/>
          <w:snapToGrid w:val="0"/>
          <w:sz w:val="20"/>
        </w:rPr>
        <w:t>godine</w:t>
      </w:r>
      <w:r w:rsidRPr="00090152">
        <w:rPr>
          <w:rFonts w:cs="Arial"/>
          <w:snapToGrid w:val="0"/>
          <w:sz w:val="20"/>
          <w:lang w:val="hr-HR"/>
        </w:rPr>
        <w:t xml:space="preserve"> </w:t>
      </w:r>
      <w:r w:rsidRPr="00090152">
        <w:rPr>
          <w:rFonts w:cs="Arial"/>
          <w:snapToGrid w:val="0"/>
          <w:sz w:val="20"/>
        </w:rPr>
        <w:t>iznosi</w:t>
      </w:r>
      <w:r>
        <w:rPr>
          <w:rFonts w:cs="Arial"/>
          <w:snapToGrid w:val="0"/>
          <w:sz w:val="20"/>
          <w:lang w:val="hr-HR"/>
        </w:rPr>
        <w:t xml:space="preserve"> 26</w:t>
      </w:r>
      <w:r w:rsidRPr="00090152">
        <w:rPr>
          <w:rFonts w:cs="Arial"/>
          <w:snapToGrid w:val="0"/>
          <w:sz w:val="20"/>
          <w:lang w:val="hr-HR"/>
        </w:rPr>
        <w:t xml:space="preserve"> </w:t>
      </w:r>
      <w:r w:rsidRPr="00090152">
        <w:rPr>
          <w:rFonts w:cs="Arial"/>
          <w:snapToGrid w:val="0"/>
          <w:sz w:val="20"/>
        </w:rPr>
        <w:t>milijuna</w:t>
      </w:r>
      <w:r w:rsidRPr="00090152">
        <w:rPr>
          <w:rFonts w:cs="Arial"/>
          <w:snapToGrid w:val="0"/>
          <w:sz w:val="20"/>
          <w:lang w:val="hr-HR"/>
        </w:rPr>
        <w:t xml:space="preserve"> </w:t>
      </w:r>
      <w:r w:rsidRPr="00090152">
        <w:rPr>
          <w:rFonts w:cs="Arial"/>
          <w:snapToGrid w:val="0"/>
          <w:sz w:val="20"/>
        </w:rPr>
        <w:t>kuna</w:t>
      </w:r>
      <w:r w:rsidRPr="00090152">
        <w:rPr>
          <w:rFonts w:cs="Arial"/>
          <w:snapToGrid w:val="0"/>
          <w:sz w:val="20"/>
          <w:lang w:val="hr-HR"/>
        </w:rPr>
        <w:t xml:space="preserve"> (</w:t>
      </w:r>
      <w:r w:rsidRPr="00090152">
        <w:rPr>
          <w:rFonts w:cs="Arial"/>
          <w:snapToGrid w:val="0"/>
          <w:sz w:val="20"/>
        </w:rPr>
        <w:t>prvih</w:t>
      </w:r>
      <w:r w:rsidRPr="00090152">
        <w:rPr>
          <w:rFonts w:cs="Arial"/>
          <w:snapToGrid w:val="0"/>
          <w:sz w:val="20"/>
          <w:lang w:val="hr-HR"/>
        </w:rPr>
        <w:t xml:space="preserve"> </w:t>
      </w:r>
      <w:r>
        <w:rPr>
          <w:rFonts w:cs="Arial"/>
          <w:snapToGrid w:val="0"/>
          <w:sz w:val="20"/>
          <w:lang w:val="hr-HR"/>
        </w:rPr>
        <w:t>devet</w:t>
      </w:r>
      <w:r w:rsidRPr="00090152">
        <w:rPr>
          <w:rFonts w:cs="Arial"/>
          <w:snapToGrid w:val="0"/>
          <w:sz w:val="20"/>
          <w:lang w:val="hr-HR"/>
        </w:rPr>
        <w:t xml:space="preserve"> </w:t>
      </w:r>
      <w:r w:rsidRPr="00090152">
        <w:rPr>
          <w:rFonts w:cs="Arial"/>
          <w:snapToGrid w:val="0"/>
          <w:sz w:val="20"/>
        </w:rPr>
        <w:t>mjeseci</w:t>
      </w:r>
      <w:r w:rsidRPr="00090152">
        <w:rPr>
          <w:rFonts w:cs="Arial"/>
          <w:snapToGrid w:val="0"/>
          <w:sz w:val="20"/>
          <w:lang w:val="hr-HR"/>
        </w:rPr>
        <w:t xml:space="preserve"> 2010. </w:t>
      </w:r>
      <w:r w:rsidRPr="00090152">
        <w:rPr>
          <w:rFonts w:cs="Arial"/>
          <w:snapToGrid w:val="0"/>
          <w:sz w:val="20"/>
        </w:rPr>
        <w:t>godine</w:t>
      </w:r>
      <w:r>
        <w:rPr>
          <w:rFonts w:cs="Arial"/>
          <w:snapToGrid w:val="0"/>
          <w:sz w:val="20"/>
          <w:lang w:val="hr-HR"/>
        </w:rPr>
        <w:t xml:space="preserve"> 2</w:t>
      </w:r>
      <w:r w:rsidRPr="00090152">
        <w:rPr>
          <w:rFonts w:cs="Arial"/>
          <w:snapToGrid w:val="0"/>
          <w:sz w:val="20"/>
          <w:lang w:val="hr-HR"/>
        </w:rPr>
        <w:t xml:space="preserve">8 </w:t>
      </w:r>
      <w:r w:rsidRPr="00090152">
        <w:rPr>
          <w:rFonts w:cs="Arial"/>
          <w:snapToGrid w:val="0"/>
          <w:sz w:val="20"/>
        </w:rPr>
        <w:t>milijuna</w:t>
      </w:r>
      <w:r w:rsidRPr="00090152">
        <w:rPr>
          <w:rFonts w:cs="Arial"/>
          <w:snapToGrid w:val="0"/>
          <w:sz w:val="20"/>
          <w:lang w:val="hr-HR"/>
        </w:rPr>
        <w:t xml:space="preserve"> </w:t>
      </w:r>
      <w:r w:rsidRPr="00090152">
        <w:rPr>
          <w:rFonts w:cs="Arial"/>
          <w:snapToGrid w:val="0"/>
          <w:sz w:val="20"/>
        </w:rPr>
        <w:t>kuna</w:t>
      </w:r>
      <w:r w:rsidRPr="00090152">
        <w:rPr>
          <w:rFonts w:cs="Arial"/>
          <w:snapToGrid w:val="0"/>
          <w:sz w:val="20"/>
          <w:lang w:val="hr-HR"/>
        </w:rPr>
        <w:t xml:space="preserve">). </w:t>
      </w:r>
      <w:r w:rsidRPr="00090152">
        <w:t>Naknade</w:t>
      </w:r>
      <w:r w:rsidRPr="00090152">
        <w:rPr>
          <w:lang w:val="hr-HR"/>
        </w:rPr>
        <w:t xml:space="preserve"> </w:t>
      </w:r>
      <w:r w:rsidRPr="00090152">
        <w:t>klju</w:t>
      </w:r>
      <w:r w:rsidRPr="00090152">
        <w:rPr>
          <w:lang w:val="hr-HR"/>
        </w:rPr>
        <w:t>č</w:t>
      </w:r>
      <w:r w:rsidRPr="00090152">
        <w:t>nim</w:t>
      </w:r>
      <w:r w:rsidRPr="00090152">
        <w:rPr>
          <w:lang w:val="hr-HR"/>
        </w:rPr>
        <w:t xml:space="preserve"> č</w:t>
      </w:r>
      <w:r w:rsidRPr="00090152">
        <w:t>lanovima</w:t>
      </w:r>
      <w:r w:rsidRPr="00090152">
        <w:rPr>
          <w:lang w:val="hr-HR"/>
        </w:rPr>
        <w:t xml:space="preserve"> </w:t>
      </w:r>
      <w:r w:rsidRPr="00090152">
        <w:t>menad</w:t>
      </w:r>
      <w:r w:rsidRPr="00090152">
        <w:rPr>
          <w:lang w:val="hr-HR"/>
        </w:rPr>
        <w:t>ž</w:t>
      </w:r>
      <w:r w:rsidRPr="00090152">
        <w:t>menta</w:t>
      </w:r>
      <w:r w:rsidRPr="00090152">
        <w:rPr>
          <w:lang w:val="hr-HR"/>
        </w:rPr>
        <w:t xml:space="preserve"> </w:t>
      </w:r>
      <w:r w:rsidRPr="00090152">
        <w:t>odnose</w:t>
      </w:r>
      <w:r w:rsidRPr="00090152">
        <w:rPr>
          <w:lang w:val="hr-HR"/>
        </w:rPr>
        <w:t xml:space="preserve"> </w:t>
      </w:r>
      <w:r w:rsidRPr="00090152">
        <w:t>se</w:t>
      </w:r>
      <w:r w:rsidRPr="00090152">
        <w:rPr>
          <w:lang w:val="hr-HR"/>
        </w:rPr>
        <w:t xml:space="preserve"> </w:t>
      </w:r>
      <w:r w:rsidRPr="00090152">
        <w:t>na</w:t>
      </w:r>
      <w:r w:rsidRPr="00090152">
        <w:rPr>
          <w:lang w:val="hr-HR"/>
        </w:rPr>
        <w:t xml:space="preserve"> </w:t>
      </w:r>
      <w:r w:rsidRPr="00090152">
        <w:t>kratkoro</w:t>
      </w:r>
      <w:r w:rsidRPr="00090152">
        <w:rPr>
          <w:lang w:val="hr-HR"/>
        </w:rPr>
        <w:t>č</w:t>
      </w:r>
      <w:r w:rsidRPr="00090152">
        <w:t>na</w:t>
      </w:r>
      <w:r w:rsidRPr="00090152">
        <w:rPr>
          <w:lang w:val="hr-HR"/>
        </w:rPr>
        <w:t xml:space="preserve"> </w:t>
      </w:r>
      <w:r w:rsidRPr="00090152">
        <w:t>primanja</w:t>
      </w:r>
      <w:r w:rsidRPr="00090152">
        <w:rPr>
          <w:lang w:val="hr-HR"/>
        </w:rPr>
        <w:t xml:space="preserve"> </w:t>
      </w:r>
      <w:r w:rsidRPr="00090152">
        <w:t>zaposlenih</w:t>
      </w:r>
      <w:r w:rsidRPr="00090152">
        <w:rPr>
          <w:lang w:val="hr-HR"/>
        </w:rPr>
        <w:t xml:space="preserve">. </w:t>
      </w:r>
      <w:r w:rsidRPr="00090152">
        <w:t>Klju</w:t>
      </w:r>
      <w:r w:rsidRPr="00090152">
        <w:rPr>
          <w:lang w:val="hr-HR"/>
        </w:rPr>
        <w:t>č</w:t>
      </w:r>
      <w:r w:rsidRPr="00090152">
        <w:t>ni</w:t>
      </w:r>
      <w:r w:rsidRPr="00090152">
        <w:rPr>
          <w:lang w:val="hr-HR"/>
        </w:rPr>
        <w:t xml:space="preserve"> č</w:t>
      </w:r>
      <w:r w:rsidRPr="00090152">
        <w:t>lanovi</w:t>
      </w:r>
      <w:r w:rsidRPr="00090152">
        <w:rPr>
          <w:lang w:val="hr-HR"/>
        </w:rPr>
        <w:t xml:space="preserve"> </w:t>
      </w:r>
      <w:r w:rsidRPr="00090152">
        <w:t>menad</w:t>
      </w:r>
      <w:r w:rsidRPr="00090152">
        <w:rPr>
          <w:lang w:val="hr-HR"/>
        </w:rPr>
        <w:t>ž</w:t>
      </w:r>
      <w:r w:rsidRPr="00090152">
        <w:t>menta</w:t>
      </w:r>
      <w:r w:rsidRPr="00090152">
        <w:rPr>
          <w:lang w:val="hr-HR"/>
        </w:rPr>
        <w:t xml:space="preserve"> </w:t>
      </w:r>
      <w:r w:rsidRPr="00090152">
        <w:t>su</w:t>
      </w:r>
      <w:r w:rsidRPr="00090152">
        <w:rPr>
          <w:lang w:val="hr-HR"/>
        </w:rPr>
        <w:t xml:space="preserve"> č</w:t>
      </w:r>
      <w:r w:rsidRPr="00090152">
        <w:t>lanovi</w:t>
      </w:r>
      <w:r w:rsidRPr="00090152">
        <w:rPr>
          <w:lang w:val="hr-HR"/>
        </w:rPr>
        <w:t xml:space="preserve"> </w:t>
      </w:r>
      <w:r w:rsidRPr="00090152">
        <w:t>Uprave</w:t>
      </w:r>
      <w:r w:rsidRPr="00090152">
        <w:rPr>
          <w:lang w:val="hr-HR"/>
        </w:rPr>
        <w:t xml:space="preserve"> </w:t>
      </w:r>
      <w:r w:rsidRPr="00090152">
        <w:t>Dru</w:t>
      </w:r>
      <w:r w:rsidRPr="00090152">
        <w:rPr>
          <w:lang w:val="hr-HR"/>
        </w:rPr>
        <w:t>š</w:t>
      </w:r>
      <w:r w:rsidRPr="00090152">
        <w:t>tva</w:t>
      </w:r>
      <w:r w:rsidRPr="00090152">
        <w:rPr>
          <w:lang w:val="hr-HR"/>
        </w:rPr>
        <w:t xml:space="preserve"> </w:t>
      </w:r>
      <w:r w:rsidRPr="00090152">
        <w:t>te</w:t>
      </w:r>
      <w:r w:rsidRPr="00090152">
        <w:rPr>
          <w:lang w:val="hr-HR"/>
        </w:rPr>
        <w:t xml:space="preserve"> </w:t>
      </w:r>
      <w:r w:rsidRPr="00090152">
        <w:t>operativni</w:t>
      </w:r>
      <w:r w:rsidRPr="00090152">
        <w:rPr>
          <w:lang w:val="hr-HR"/>
        </w:rPr>
        <w:t xml:space="preserve"> </w:t>
      </w:r>
      <w:r w:rsidRPr="00090152">
        <w:t>direktori</w:t>
      </w:r>
      <w:r w:rsidRPr="00090152">
        <w:rPr>
          <w:lang w:val="hr-HR"/>
        </w:rPr>
        <w:t xml:space="preserve"> </w:t>
      </w:r>
      <w:r w:rsidRPr="00090152">
        <w:t>Dru</w:t>
      </w:r>
      <w:r w:rsidRPr="00090152">
        <w:rPr>
          <w:lang w:val="hr-HR"/>
        </w:rPr>
        <w:t>š</w:t>
      </w:r>
      <w:r w:rsidRPr="00090152">
        <w:t>tva</w:t>
      </w:r>
      <w:r w:rsidRPr="00090152">
        <w:rPr>
          <w:lang w:val="hr-HR"/>
        </w:rPr>
        <w:t xml:space="preserve"> </w:t>
      </w:r>
      <w:r w:rsidRPr="00090152">
        <w:t>koje</w:t>
      </w:r>
      <w:r w:rsidRPr="00090152">
        <w:rPr>
          <w:lang w:val="hr-HR"/>
        </w:rPr>
        <w:t xml:space="preserve"> </w:t>
      </w:r>
      <w:r w:rsidRPr="00090152">
        <w:t>zapo</w:t>
      </w:r>
      <w:r w:rsidRPr="00090152">
        <w:rPr>
          <w:lang w:val="hr-HR"/>
        </w:rPr>
        <w:t>š</w:t>
      </w:r>
      <w:r w:rsidRPr="00090152">
        <w:t>ljava</w:t>
      </w:r>
      <w:r w:rsidRPr="00090152">
        <w:rPr>
          <w:lang w:val="hr-HR"/>
        </w:rPr>
        <w:t xml:space="preserve"> </w:t>
      </w:r>
      <w:r w:rsidRPr="00090152">
        <w:t>Dru</w:t>
      </w:r>
      <w:r w:rsidRPr="00090152">
        <w:rPr>
          <w:lang w:val="hr-HR"/>
        </w:rPr>
        <w:t>š</w:t>
      </w:r>
      <w:r w:rsidRPr="00090152">
        <w:t>tvo</w:t>
      </w:r>
      <w:r w:rsidRPr="00090152">
        <w:rPr>
          <w:lang w:val="hr-HR"/>
        </w:rPr>
        <w:t>.</w:t>
      </w:r>
    </w:p>
    <w:p w:rsidR="003E4626" w:rsidRPr="00960D6B" w:rsidRDefault="003E4626" w:rsidP="006E2F77">
      <w:pPr>
        <w:pStyle w:val="T10"/>
        <w:rPr>
          <w:b/>
          <w:bCs/>
          <w:lang w:val="hr-HR"/>
        </w:rPr>
      </w:pPr>
    </w:p>
    <w:p w:rsidR="003E4626" w:rsidRPr="00960D6B" w:rsidRDefault="003E4626" w:rsidP="006E2F77">
      <w:pPr>
        <w:outlineLvl w:val="0"/>
        <w:rPr>
          <w:rFonts w:ascii="Tele-GroteskEEHal" w:hAnsi="Tele-GroteskEEHal" w:cs="Tahoma"/>
          <w:b/>
          <w:sz w:val="28"/>
          <w:szCs w:val="28"/>
          <w:lang w:val="hr-HR"/>
        </w:rPr>
      </w:pPr>
      <w:r w:rsidRPr="00960D6B">
        <w:rPr>
          <w:rFonts w:ascii="Tele-GroteskEEHal" w:hAnsi="Tele-GroteskEEHal" w:cs="Tahoma"/>
          <w:b/>
          <w:sz w:val="28"/>
          <w:szCs w:val="28"/>
          <w:lang w:val="hr-HR"/>
        </w:rPr>
        <w:t>Izjava Uprave Hrvatskog Telekoma d.d.</w:t>
      </w:r>
    </w:p>
    <w:p w:rsidR="003E4626" w:rsidRPr="00960D6B" w:rsidRDefault="003E4626" w:rsidP="006E2F77">
      <w:pPr>
        <w:jc w:val="both"/>
        <w:rPr>
          <w:rFonts w:ascii="Tele-GroteskEEHal" w:hAnsi="Tele-GroteskEEHal" w:cs="Tele-GroteskEEHal"/>
          <w:sz w:val="22"/>
          <w:szCs w:val="22"/>
          <w:lang w:val="hr-HR"/>
        </w:rPr>
      </w:pPr>
    </w:p>
    <w:p w:rsidR="003E4626"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 xml:space="preserve">Prema našem najboljem saznanju, nerevidirana financijska izvješća društva Hrvatski Telekom d.d. (u daljnjem tekstu: Društvo) i nerevidirana konsolidirana financijska izvješća Društva i njegovih povezanih društava (u daljnjem tekstu: Grupa), sastavljena u skladu s Međunarodnim standardima financijskog izvješćivanja (MSFI), daju cjelovit i istinit prikaz imovine i obveza, gubitaka i dobitaka, financijskog položaja i poslovanja Društva i Grupe. </w:t>
      </w:r>
    </w:p>
    <w:p w:rsidR="003E4626" w:rsidRPr="00960D6B" w:rsidRDefault="003E4626" w:rsidP="006E2F77">
      <w:pPr>
        <w:jc w:val="both"/>
        <w:rPr>
          <w:rFonts w:ascii="Tele-GroteskEEHal" w:hAnsi="Tele-GroteskEEHal"/>
          <w:sz w:val="22"/>
          <w:szCs w:val="22"/>
          <w:lang w:val="hr-HR"/>
        </w:rPr>
      </w:pPr>
    </w:p>
    <w:p w:rsidR="003E4626" w:rsidRPr="00960D6B"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Izvješće poslovodstva za prvih devet mjeseci do 30. rujna 2011. godine sadrži istinit prikaz razvoja i rezultata poslovanja i položaja Grupe uz opis značajnih rizika i neizvjesnosti kojima je Grupa izložena u cjelini.</w:t>
      </w:r>
    </w:p>
    <w:p w:rsidR="003E4626" w:rsidRPr="00960D6B" w:rsidRDefault="003E4626" w:rsidP="006E2F77">
      <w:pPr>
        <w:jc w:val="both"/>
        <w:rPr>
          <w:rFonts w:ascii="Tele-GroteskEEHal" w:hAnsi="Tele-GroteskEEHal"/>
          <w:sz w:val="22"/>
          <w:szCs w:val="22"/>
          <w:lang w:val="hr-HR"/>
        </w:rPr>
      </w:pPr>
    </w:p>
    <w:p w:rsidR="003E4626" w:rsidRPr="00960D6B"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g. Ivica Mudrinić, predsjednik Uprave</w:t>
      </w:r>
    </w:p>
    <w:p w:rsidR="003E4626" w:rsidRPr="00960D6B" w:rsidRDefault="003E4626" w:rsidP="006E2F77">
      <w:pPr>
        <w:jc w:val="both"/>
        <w:rPr>
          <w:rFonts w:ascii="Tele-GroteskEEHal" w:hAnsi="Tele-GroteskEEHal"/>
          <w:sz w:val="22"/>
          <w:szCs w:val="22"/>
          <w:lang w:val="hr-HR"/>
        </w:rPr>
      </w:pPr>
    </w:p>
    <w:p w:rsidR="003E4626" w:rsidRPr="00960D6B"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g. Dino Dogan, član Uprave i glavni direktor za financije</w:t>
      </w:r>
    </w:p>
    <w:p w:rsidR="003E4626" w:rsidRPr="00960D6B" w:rsidRDefault="003E4626" w:rsidP="006E2F77">
      <w:pPr>
        <w:jc w:val="both"/>
        <w:rPr>
          <w:rFonts w:ascii="Tele-GroteskEEHal" w:hAnsi="Tele-GroteskEEHal"/>
          <w:sz w:val="22"/>
          <w:szCs w:val="22"/>
          <w:lang w:val="hr-HR"/>
        </w:rPr>
      </w:pPr>
    </w:p>
    <w:p w:rsidR="003E4626" w:rsidRPr="00960D6B"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g. Johan Busé, član uprave i glavni operativni direktor za privatne korisnike</w:t>
      </w:r>
    </w:p>
    <w:p w:rsidR="003E4626" w:rsidRPr="00960D6B" w:rsidRDefault="003E4626" w:rsidP="006E2F77">
      <w:pPr>
        <w:jc w:val="both"/>
        <w:rPr>
          <w:rFonts w:ascii="Tele-GroteskEEHal" w:hAnsi="Tele-GroteskEEHal"/>
          <w:sz w:val="22"/>
          <w:szCs w:val="22"/>
          <w:lang w:val="hr-HR"/>
        </w:rPr>
      </w:pPr>
    </w:p>
    <w:p w:rsidR="003E4626" w:rsidRPr="00960D6B"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gđa Irena Jolić Šimović, članica Uprave i glavna operativna direktorica za poslovne korisnike</w:t>
      </w:r>
    </w:p>
    <w:p w:rsidR="003E4626" w:rsidRPr="00960D6B" w:rsidRDefault="003E4626" w:rsidP="006E2F77">
      <w:pPr>
        <w:jc w:val="both"/>
        <w:rPr>
          <w:rFonts w:ascii="Tele-GroteskEEHal" w:hAnsi="Tele-GroteskEEHal"/>
          <w:sz w:val="22"/>
          <w:szCs w:val="22"/>
          <w:lang w:val="hr-HR"/>
        </w:rPr>
      </w:pPr>
    </w:p>
    <w:p w:rsidR="003E4626" w:rsidRPr="00960D6B"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 xml:space="preserve">g. Božidar Poldrugač, član Uprave i glavni direktor za tehniku i informacijske tehnologije </w:t>
      </w:r>
    </w:p>
    <w:p w:rsidR="003E4626" w:rsidRPr="00960D6B" w:rsidRDefault="003E4626" w:rsidP="006E2F77">
      <w:pPr>
        <w:jc w:val="both"/>
        <w:rPr>
          <w:rFonts w:ascii="Tele-GroteskEEHal" w:hAnsi="Tele-GroteskEEHal"/>
          <w:sz w:val="22"/>
          <w:szCs w:val="22"/>
          <w:lang w:val="hr-HR"/>
        </w:rPr>
      </w:pPr>
    </w:p>
    <w:p w:rsidR="003E4626" w:rsidRPr="00960D6B" w:rsidRDefault="003E4626" w:rsidP="006E2F77">
      <w:pPr>
        <w:jc w:val="both"/>
        <w:rPr>
          <w:rFonts w:ascii="Tele-GroteskEEHal" w:hAnsi="Tele-GroteskEEHal"/>
          <w:sz w:val="22"/>
          <w:szCs w:val="22"/>
          <w:lang w:val="hr-HR"/>
        </w:rPr>
      </w:pPr>
      <w:r w:rsidRPr="00960D6B">
        <w:rPr>
          <w:rFonts w:ascii="Tele-GroteskEEHal" w:hAnsi="Tele-GroteskEEHal"/>
          <w:sz w:val="22"/>
          <w:szCs w:val="22"/>
          <w:lang w:val="hr-HR"/>
        </w:rPr>
        <w:t>gđa Branka Skaramuča, članica Uprave i glavna direktorica za ljudske resurse</w:t>
      </w:r>
    </w:p>
    <w:p w:rsidR="003E4626" w:rsidRPr="00960D6B" w:rsidRDefault="003E4626" w:rsidP="006E2F77">
      <w:pPr>
        <w:rPr>
          <w:rFonts w:ascii="Tele-GroteskEEHal" w:hAnsi="Tele-GroteskEEHal" w:cs="Tele-GroteskEEHal"/>
          <w:sz w:val="22"/>
          <w:szCs w:val="22"/>
          <w:lang w:val="hr-HR"/>
        </w:rPr>
      </w:pPr>
    </w:p>
    <w:p w:rsidR="003E4626" w:rsidRPr="00960D6B" w:rsidRDefault="003E4626" w:rsidP="006E2F77">
      <w:pPr>
        <w:rPr>
          <w:rFonts w:ascii="Tele-GroteskEEHal" w:hAnsi="Tele-GroteskEEHal" w:cs="Tahoma"/>
          <w:sz w:val="22"/>
          <w:szCs w:val="22"/>
          <w:lang w:val="hr-HR"/>
        </w:rPr>
      </w:pPr>
    </w:p>
    <w:p w:rsidR="003E4626" w:rsidRPr="00960D6B" w:rsidRDefault="003E4626" w:rsidP="006E2F77">
      <w:pPr>
        <w:rPr>
          <w:rFonts w:ascii="Tele-GroteskEEHal" w:hAnsi="Tele-GroteskEEHal" w:cs="Tahoma"/>
          <w:sz w:val="22"/>
          <w:szCs w:val="22"/>
          <w:lang w:val="hr-HR"/>
        </w:rPr>
      </w:pPr>
      <w:r w:rsidRPr="00960D6B">
        <w:rPr>
          <w:rFonts w:ascii="Tele-GroteskEEHal" w:hAnsi="Tele-GroteskEEHal" w:cs="Tahoma"/>
          <w:sz w:val="22"/>
          <w:szCs w:val="22"/>
          <w:lang w:val="hr-HR"/>
        </w:rPr>
        <w:t>U Zagrebu, 28. listopada 2011.</w:t>
      </w:r>
    </w:p>
    <w:p w:rsidR="003E4626" w:rsidRPr="00960D6B" w:rsidRDefault="003E4626" w:rsidP="006E2F77">
      <w:pPr>
        <w:pStyle w:val="BodyText"/>
        <w:jc w:val="both"/>
        <w:rPr>
          <w:rFonts w:ascii="Tele-GroteskEEHal" w:hAnsi="Tele-GroteskEEHal" w:cs="Tahoma"/>
          <w:sz w:val="22"/>
          <w:szCs w:val="22"/>
          <w:lang w:val="hr-HR" w:eastAsia="hr-HR"/>
        </w:rPr>
      </w:pPr>
    </w:p>
    <w:p w:rsidR="003E4626" w:rsidRDefault="003E4626" w:rsidP="006E2F77">
      <w:pPr>
        <w:pStyle w:val="BodyText"/>
        <w:jc w:val="both"/>
        <w:rPr>
          <w:rFonts w:ascii="Tele-GroteskEEHal" w:hAnsi="Tele-GroteskEEHal" w:cs="Tahoma"/>
          <w:sz w:val="22"/>
          <w:szCs w:val="22"/>
          <w:lang w:val="hr-HR" w:eastAsia="hr-HR"/>
        </w:rPr>
      </w:pPr>
    </w:p>
    <w:p w:rsidR="003E4626" w:rsidRPr="00960D6B" w:rsidRDefault="003E4626" w:rsidP="006E2F77">
      <w:pPr>
        <w:pStyle w:val="BodyText"/>
        <w:jc w:val="both"/>
        <w:rPr>
          <w:rFonts w:ascii="Tele-GroteskEEHal" w:hAnsi="Tele-GroteskEEHal" w:cs="Tahoma"/>
          <w:sz w:val="22"/>
          <w:szCs w:val="22"/>
          <w:lang w:val="hr-HR" w:eastAsia="hr-HR"/>
        </w:rPr>
      </w:pPr>
    </w:p>
    <w:p w:rsidR="003E4626" w:rsidRPr="00960D6B" w:rsidRDefault="003E4626" w:rsidP="006E2F77">
      <w:pPr>
        <w:pStyle w:val="BodyText"/>
        <w:jc w:val="both"/>
        <w:rPr>
          <w:rFonts w:ascii="Tele-GroteskEEHal" w:hAnsi="Tele-GroteskEEHal" w:cs="Tahoma"/>
          <w:sz w:val="22"/>
          <w:szCs w:val="22"/>
          <w:lang w:val="hr-HR" w:eastAsia="hr-HR"/>
        </w:rPr>
      </w:pPr>
    </w:p>
    <w:p w:rsidR="003E4626" w:rsidRPr="00960D6B" w:rsidRDefault="003E4626" w:rsidP="006E2F77">
      <w:pPr>
        <w:outlineLvl w:val="0"/>
        <w:rPr>
          <w:rFonts w:ascii="Tele-GroteskEEHal" w:hAnsi="Tele-GroteskEEHal" w:cs="Tele-GroteskEEHal"/>
          <w:b/>
          <w:bCs/>
          <w:color w:val="000000"/>
          <w:sz w:val="22"/>
          <w:szCs w:val="22"/>
          <w:lang w:val="hr-HR"/>
        </w:rPr>
      </w:pPr>
    </w:p>
    <w:p w:rsidR="003E4626" w:rsidRPr="00960D6B" w:rsidRDefault="003E4626" w:rsidP="006E2F77">
      <w:pPr>
        <w:outlineLvl w:val="0"/>
        <w:rPr>
          <w:rFonts w:ascii="Tele-GroteskEEHal" w:hAnsi="Tele-GroteskEEHal" w:cs="Tele-GroteskEEHal"/>
          <w:b/>
          <w:bCs/>
          <w:color w:val="000000"/>
          <w:sz w:val="22"/>
          <w:szCs w:val="22"/>
          <w:lang w:val="hr-HR"/>
        </w:rPr>
      </w:pPr>
      <w:r w:rsidRPr="00960D6B">
        <w:rPr>
          <w:rFonts w:ascii="Tele-GroteskEEHal" w:hAnsi="Tele-GroteskEEHal" w:cs="Tele-GroteskEEHal"/>
          <w:b/>
          <w:bCs/>
          <w:color w:val="000000"/>
          <w:sz w:val="22"/>
          <w:szCs w:val="22"/>
          <w:lang w:val="hr-HR"/>
        </w:rPr>
        <w:t xml:space="preserve">Prezentacija podataka </w:t>
      </w:r>
    </w:p>
    <w:p w:rsidR="003E4626" w:rsidRPr="00960D6B" w:rsidRDefault="003E4626" w:rsidP="006E2F77">
      <w:pPr>
        <w:autoSpaceDE w:val="0"/>
        <w:jc w:val="both"/>
        <w:rPr>
          <w:rFonts w:ascii="Tele-GroteskEEHal" w:hAnsi="Tele-GroteskEEHal" w:cs="Tele-GroteskEEHal"/>
          <w:color w:val="000000"/>
          <w:sz w:val="22"/>
          <w:szCs w:val="22"/>
          <w:lang w:val="hr-HR"/>
        </w:rPr>
      </w:pPr>
      <w:r w:rsidRPr="00960D6B">
        <w:rPr>
          <w:rFonts w:ascii="Tele-GroteskEEHal" w:hAnsi="Tele-GroteskEEHal" w:cs="Tele-GroteskEEHal"/>
          <w:color w:val="000000"/>
          <w:sz w:val="22"/>
          <w:szCs w:val="22"/>
          <w:lang w:val="hr-HR"/>
        </w:rPr>
        <w:t>Osim ako kontekst ne zahtijeva drugačije, pojam „Grupa T-HT“ ili „Grupa“ ili „T-HT“ u ovoj objavi označava društvo Hrvatski Telekom d.d. zajedno s njegovim ovisnim društvima.</w:t>
      </w:r>
    </w:p>
    <w:p w:rsidR="003E4626" w:rsidRPr="00960D6B" w:rsidRDefault="003E4626" w:rsidP="006E2F77">
      <w:pPr>
        <w:autoSpaceDE w:val="0"/>
        <w:jc w:val="both"/>
        <w:rPr>
          <w:rFonts w:ascii="Tele-GroteskEEHal" w:hAnsi="Tele-GroteskEEHal" w:cs="Tele-GroteskEEHal"/>
          <w:color w:val="000000"/>
          <w:sz w:val="22"/>
          <w:szCs w:val="22"/>
          <w:lang w:val="hr-HR"/>
        </w:rPr>
      </w:pPr>
      <w:r w:rsidRPr="00960D6B">
        <w:rPr>
          <w:rFonts w:ascii="Tele-GroteskEEHal" w:hAnsi="Tele-GroteskEEHal" w:cs="Tele-GroteskEEHal"/>
          <w:color w:val="000000"/>
          <w:sz w:val="22"/>
          <w:szCs w:val="22"/>
          <w:lang w:val="hr-HR"/>
        </w:rPr>
        <w:t>Pojam „HT“ ili „Društvo“ odnosi se na društvo Hrvatski Telekom d.d. Nakon pripajanja T-Mobilea d.o.o. društvu Hrvatski Telekom (HT d.d.), koje je stupilo na snagu 1. siječnja 2010., Grupa je organizirana u dvije poslovne jedinice: Poslovnu jedinicu za poslovne korisnike i Poslovnu jedinicu za privatne korisnike.</w:t>
      </w:r>
    </w:p>
    <w:p w:rsidR="003E4626" w:rsidRPr="00960D6B" w:rsidRDefault="003E4626" w:rsidP="006E2F77">
      <w:pPr>
        <w:jc w:val="both"/>
        <w:rPr>
          <w:rFonts w:ascii="Tele-GroteskEEHal" w:hAnsi="Tele-GroteskEEHal" w:cs="Tahoma"/>
          <w:sz w:val="22"/>
          <w:szCs w:val="22"/>
          <w:lang w:val="hr-HR"/>
        </w:rPr>
      </w:pPr>
      <w:r w:rsidRPr="00960D6B">
        <w:rPr>
          <w:rFonts w:ascii="Tele-GroteskEEHal" w:hAnsi="Tele-GroteskEEHal" w:cs="Tahoma"/>
          <w:sz w:val="22"/>
          <w:szCs w:val="22"/>
          <w:lang w:val="hr-HR"/>
        </w:rPr>
        <w:t>Shodno tomu, pojam „poslovni korisnici” odnosi se na poslovanje koje se obavlja u Segmentu poslovnih korisnika unutar Društva .</w:t>
      </w:r>
    </w:p>
    <w:p w:rsidR="003E4626" w:rsidRPr="00960D6B" w:rsidRDefault="003E4626" w:rsidP="006E2F77">
      <w:pPr>
        <w:jc w:val="both"/>
        <w:rPr>
          <w:rFonts w:ascii="Tele-GroteskEEHal" w:hAnsi="Tele-GroteskEEHal" w:cs="Tahoma"/>
          <w:sz w:val="22"/>
          <w:szCs w:val="22"/>
          <w:lang w:val="hr-HR"/>
        </w:rPr>
      </w:pPr>
      <w:r w:rsidRPr="00960D6B">
        <w:rPr>
          <w:rFonts w:ascii="Tele-GroteskEEHal" w:hAnsi="Tele-GroteskEEHal" w:cs="Tahoma"/>
          <w:sz w:val="22"/>
          <w:szCs w:val="22"/>
          <w:lang w:val="hr-HR"/>
        </w:rPr>
        <w:t xml:space="preserve">Pojam „privatni korisnici“ odnosi se na poslovanje koje se obavlja u Segmentu privatnih korisnika unutar Društva. </w:t>
      </w:r>
    </w:p>
    <w:p w:rsidR="003E4626" w:rsidRPr="00960D6B" w:rsidRDefault="003E4626" w:rsidP="006E2F77">
      <w:pPr>
        <w:jc w:val="both"/>
        <w:rPr>
          <w:rFonts w:ascii="Tele-GroteskEEHal" w:hAnsi="Tele-GroteskEEHal" w:cs="Tahoma"/>
          <w:sz w:val="22"/>
          <w:szCs w:val="22"/>
          <w:lang w:val="hr-HR"/>
        </w:rPr>
      </w:pPr>
      <w:r w:rsidRPr="00960D6B">
        <w:rPr>
          <w:rFonts w:ascii="Tele-GroteskEEHal" w:hAnsi="Tele-GroteskEEHal" w:cs="Tahoma"/>
          <w:sz w:val="22"/>
          <w:szCs w:val="22"/>
          <w:lang w:val="hr-HR"/>
        </w:rPr>
        <w:t>Pojam “Iskon” odnosi se na Iskon Internet d.d., ovisno društvo u potpunom vlasništvu Društva.</w:t>
      </w:r>
    </w:p>
    <w:p w:rsidR="003E4626" w:rsidRPr="00960D6B" w:rsidRDefault="003E4626" w:rsidP="006E2F77">
      <w:pPr>
        <w:jc w:val="both"/>
        <w:rPr>
          <w:rFonts w:ascii="Tele-GroteskEEHal" w:hAnsi="Tele-GroteskEEHal" w:cs="Tahoma"/>
          <w:sz w:val="22"/>
          <w:szCs w:val="22"/>
          <w:lang w:val="hr-HR"/>
        </w:rPr>
      </w:pPr>
      <w:r w:rsidRPr="00960D6B">
        <w:rPr>
          <w:rFonts w:ascii="Tele-GroteskEEHal" w:hAnsi="Tele-GroteskEEHal" w:cs="Tahoma"/>
          <w:sz w:val="22"/>
          <w:szCs w:val="22"/>
          <w:lang w:val="hr-HR"/>
        </w:rPr>
        <w:t>Pojam “Combis” odnosi se na Combis d.o.o., ovisno društvo u potpunom vlasništvu Društva.</w:t>
      </w:r>
    </w:p>
    <w:p w:rsidR="003E4626" w:rsidRPr="00960D6B" w:rsidRDefault="003E4626" w:rsidP="006E2F77">
      <w:pPr>
        <w:jc w:val="both"/>
        <w:rPr>
          <w:rFonts w:ascii="Tele-GroteskEEHal" w:hAnsi="Tele-GroteskEEHal" w:cs="Tahoma"/>
          <w:sz w:val="22"/>
          <w:szCs w:val="22"/>
          <w:lang w:val="hr-HR"/>
        </w:rPr>
      </w:pPr>
      <w:r w:rsidRPr="00960D6B">
        <w:rPr>
          <w:rFonts w:ascii="Tele-GroteskEEHal" w:hAnsi="Tele-GroteskEEHal" w:cs="Tahoma"/>
          <w:sz w:val="22"/>
          <w:szCs w:val="22"/>
          <w:lang w:val="hr-HR"/>
        </w:rPr>
        <w:t>Pojam „KDS“ odnosi se na KDS d.o.o., ovisno društvo u potpunom vlasništvu Društva.</w:t>
      </w:r>
    </w:p>
    <w:p w:rsidR="003E4626" w:rsidRPr="00960D6B" w:rsidRDefault="003E4626" w:rsidP="006E2F77">
      <w:pPr>
        <w:jc w:val="both"/>
        <w:rPr>
          <w:rFonts w:ascii="Tele-GroteskEEHal" w:hAnsi="Tele-GroteskEEHal" w:cs="Tahoma"/>
          <w:sz w:val="22"/>
          <w:szCs w:val="22"/>
          <w:lang w:val="hr-HR"/>
        </w:rPr>
      </w:pPr>
    </w:p>
    <w:p w:rsidR="003E4626" w:rsidRPr="00960D6B" w:rsidRDefault="003E4626" w:rsidP="006E2F77">
      <w:pPr>
        <w:jc w:val="both"/>
        <w:rPr>
          <w:rFonts w:ascii="Tele-GroteskEEHal" w:hAnsi="Tele-GroteskEEHal" w:cs="Tahoma"/>
          <w:sz w:val="22"/>
          <w:szCs w:val="22"/>
          <w:lang w:val="hr-HR"/>
        </w:rPr>
      </w:pPr>
      <w:r w:rsidRPr="00960D6B">
        <w:rPr>
          <w:rFonts w:ascii="Tele-GroteskEEHal" w:hAnsi="Tele-GroteskEEHal" w:cs="Tahoma"/>
          <w:sz w:val="22"/>
          <w:szCs w:val="22"/>
          <w:lang w:val="hr-HR"/>
        </w:rPr>
        <w:t>Pojam „Agencija“ u ovoj objavi odnosi se na Hrvatsku agenciju za poštu i elektroničke komunikacije, hrvatsko nacionalno regulatorno tijelo.</w:t>
      </w:r>
    </w:p>
    <w:p w:rsidR="003E4626" w:rsidRPr="00960D6B" w:rsidRDefault="003E4626" w:rsidP="006E2F77">
      <w:pPr>
        <w:jc w:val="both"/>
        <w:rPr>
          <w:rFonts w:ascii="Tele-GroteskEEHal" w:hAnsi="Tele-GroteskEEHal" w:cs="Tahoma"/>
          <w:sz w:val="22"/>
          <w:szCs w:val="22"/>
          <w:lang w:val="hr-HR"/>
        </w:rPr>
      </w:pPr>
    </w:p>
    <w:p w:rsidR="003E4626" w:rsidRPr="00960D6B" w:rsidRDefault="003E4626" w:rsidP="006E2F77">
      <w:pPr>
        <w:jc w:val="both"/>
        <w:rPr>
          <w:rFonts w:ascii="Tele-GroteskEEHal" w:hAnsi="Tele-GroteskEEHal" w:cs="Tahoma"/>
          <w:sz w:val="22"/>
          <w:szCs w:val="22"/>
          <w:highlight w:val="yellow"/>
          <w:lang w:val="hr-HR"/>
        </w:rPr>
      </w:pPr>
    </w:p>
    <w:p w:rsidR="003E4626" w:rsidRPr="00960D6B" w:rsidRDefault="003E4626" w:rsidP="006E2F77">
      <w:pPr>
        <w:ind w:left="1080" w:hanging="1080"/>
        <w:jc w:val="both"/>
        <w:outlineLvl w:val="0"/>
        <w:rPr>
          <w:rFonts w:ascii="Tele-GroteskEEHal" w:hAnsi="Tele-GroteskEEHal" w:cs="Tahoma"/>
          <w:b/>
          <w:color w:val="000000"/>
          <w:sz w:val="22"/>
          <w:szCs w:val="22"/>
          <w:lang w:val="hr-HR" w:eastAsia="en-GB"/>
        </w:rPr>
      </w:pPr>
    </w:p>
    <w:p w:rsidR="003E4626" w:rsidRPr="00960D6B" w:rsidRDefault="003E4626" w:rsidP="006E2F77">
      <w:pPr>
        <w:ind w:left="1080" w:hanging="1080"/>
        <w:jc w:val="both"/>
        <w:outlineLvl w:val="0"/>
        <w:rPr>
          <w:rFonts w:ascii="Tele-GroteskEEHal" w:hAnsi="Tele-GroteskEEHal" w:cs="Tele-GroteskEEHal"/>
          <w:b/>
          <w:bCs/>
          <w:color w:val="000000"/>
          <w:sz w:val="22"/>
          <w:szCs w:val="22"/>
          <w:lang w:val="hr-HR" w:eastAsia="en-GB"/>
        </w:rPr>
      </w:pPr>
      <w:r w:rsidRPr="00960D6B">
        <w:rPr>
          <w:rFonts w:ascii="Tele-GroteskEEHal" w:hAnsi="Tele-GroteskEEHal" w:cs="Tele-GroteskEEHal"/>
          <w:b/>
          <w:bCs/>
          <w:color w:val="000000"/>
          <w:sz w:val="22"/>
          <w:szCs w:val="22"/>
          <w:lang w:val="hr-HR" w:eastAsia="en-GB"/>
        </w:rPr>
        <w:t>Izjava o odricanju od odgovornosti</w:t>
      </w:r>
    </w:p>
    <w:p w:rsidR="003E4626" w:rsidRPr="00960D6B" w:rsidRDefault="003E4626" w:rsidP="006E2F77">
      <w:pPr>
        <w:jc w:val="both"/>
        <w:outlineLvl w:val="0"/>
        <w:rPr>
          <w:rFonts w:ascii="Tele-GroteskEEHal" w:hAnsi="Tele-GroteskEEHal" w:cs="Tele-GroteskEEHal"/>
          <w:color w:val="000000"/>
          <w:sz w:val="22"/>
          <w:szCs w:val="22"/>
          <w:lang w:val="hr-HR" w:eastAsia="en-GB"/>
        </w:rPr>
      </w:pPr>
      <w:r w:rsidRPr="00960D6B">
        <w:rPr>
          <w:rFonts w:ascii="Tele-GroteskEEHal" w:hAnsi="Tele-GroteskEEHal" w:cs="Tele-GroteskEEHal"/>
          <w:color w:val="000000"/>
          <w:sz w:val="22"/>
          <w:szCs w:val="22"/>
          <w:lang w:val="hr-HR" w:eastAsia="en-GB"/>
        </w:rPr>
        <w:t xml:space="preserve">Ovaj dokument sadrži određene izjave koje se odnose na budućnost u pogledu financijskih uvjeta, poslovnih rezultata i poslovanja Grupe. Te izjave predstavljaju očekivanja ili uvjerenja Društva u vezi s budućim događajima i uključuju poznate i nepoznate rizike i neizvjesnosti koji bi mogli dovesti do bitnih razlika kod stvarnih rezultata, radnog učinka ili događaja u odnosu na one koji su navedeni ili pretpostavljeni u ovim izvješćima. Dodatne informacije u vezi s važnim čimbenicima koji bi mogli dovesti do bitnih odstupanja od stvarnih rezultata mogu se naći u izvješćima Grupe na </w:t>
      </w:r>
      <w:hyperlink r:id="rId10" w:history="1">
        <w:r w:rsidRPr="00960D6B">
          <w:rPr>
            <w:rStyle w:val="Hyperlink"/>
            <w:rFonts w:ascii="Tele-GroteskEEHal" w:hAnsi="Tele-GroteskEEHal" w:cs="Tele-GroteskEEHal"/>
            <w:sz w:val="22"/>
            <w:szCs w:val="22"/>
            <w:lang w:val="hr-HR" w:eastAsia="en-GB"/>
          </w:rPr>
          <w:t>www.t.ht.hr</w:t>
        </w:r>
      </w:hyperlink>
      <w:r w:rsidRPr="00960D6B">
        <w:rPr>
          <w:rFonts w:ascii="Tele-GroteskEEHal" w:hAnsi="Tele-GroteskEEHal" w:cs="Tele-GroteskEEHal"/>
          <w:color w:val="000000"/>
          <w:sz w:val="22"/>
          <w:szCs w:val="22"/>
          <w:lang w:val="hr-HR" w:eastAsia="en-GB"/>
        </w:rPr>
        <w:t>.</w:t>
      </w:r>
    </w:p>
    <w:p w:rsidR="003E4626" w:rsidRPr="00960D6B" w:rsidRDefault="003E4626" w:rsidP="006E2F77">
      <w:pPr>
        <w:spacing w:before="240" w:after="240"/>
        <w:jc w:val="both"/>
        <w:outlineLvl w:val="0"/>
        <w:rPr>
          <w:rFonts w:ascii="Tele-GroteskEEHal" w:hAnsi="Tele-GroteskEEHal"/>
          <w:b/>
          <w:bCs/>
          <w:sz w:val="28"/>
          <w:szCs w:val="28"/>
          <w:lang w:val="hr-HR"/>
        </w:rPr>
      </w:pPr>
    </w:p>
    <w:p w:rsidR="003E4626" w:rsidRPr="00960D6B" w:rsidRDefault="003E4626" w:rsidP="004132C4">
      <w:pPr>
        <w:pStyle w:val="T2"/>
        <w:spacing w:after="0"/>
        <w:rPr>
          <w:b/>
          <w:sz w:val="28"/>
          <w:szCs w:val="28"/>
          <w:lang w:val="hr-HR"/>
        </w:rPr>
      </w:pPr>
    </w:p>
    <w:sectPr w:rsidR="003E4626" w:rsidRPr="00960D6B" w:rsidSect="00C97B6D">
      <w:headerReference w:type="default" r:id="rId11"/>
      <w:footerReference w:type="even" r:id="rId12"/>
      <w:footerReference w:type="default" r:id="rId13"/>
      <w:headerReference w:type="first" r:id="rId14"/>
      <w:pgSz w:w="11907" w:h="16840" w:code="9"/>
      <w:pgMar w:top="2157" w:right="1588" w:bottom="1276" w:left="1814" w:header="567" w:footer="36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626" w:rsidRDefault="003E4626">
      <w:r>
        <w:separator/>
      </w:r>
    </w:p>
  </w:endnote>
  <w:endnote w:type="continuationSeparator" w:id="1">
    <w:p w:rsidR="003E4626" w:rsidRDefault="003E4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61002A87" w:usb1="80000000" w:usb2="00000008" w:usb3="00000000" w:csb0="000101FF" w:csb1="00000000"/>
  </w:font>
  <w:font w:name="Tele-GroteskEEHal">
    <w:altName w:val="Times New Roman"/>
    <w:panose1 w:val="00000000000000000000"/>
    <w:charset w:val="EE"/>
    <w:family w:val="auto"/>
    <w:pitch w:val="variable"/>
    <w:sig w:usb0="800000AF" w:usb1="0000204B" w:usb2="00000000" w:usb3="00000000" w:csb0="00000093" w:csb1="00000000"/>
  </w:font>
  <w:font w:name="Cambria">
    <w:panose1 w:val="02040503050406030204"/>
    <w:charset w:val="EE"/>
    <w:family w:val="roman"/>
    <w:pitch w:val="variable"/>
    <w:sig w:usb0="A00002EF" w:usb1="4000004B" w:usb2="00000000" w:usb3="00000000" w:csb0="0000009F" w:csb1="00000000"/>
  </w:font>
  <w:font w:name="Tele-GroteskEENor">
    <w:altName w:val="Times New Roman"/>
    <w:panose1 w:val="00000000000000000000"/>
    <w:charset w:val="EE"/>
    <w:family w:val="auto"/>
    <w:pitch w:val="variable"/>
    <w:sig w:usb0="800000AF" w:usb1="0000204B" w:usb2="00000000" w:usb3="00000000" w:csb0="00000093" w:csb1="00000000"/>
  </w:font>
  <w:font w:name="Tele-AntiquaEE">
    <w:altName w:val="Times New Roman"/>
    <w:panose1 w:val="00000000000000000000"/>
    <w:charset w:val="EE"/>
    <w:family w:val="auto"/>
    <w:pitch w:val="variable"/>
    <w:sig w:usb0="800000AF" w:usb1="0000204A" w:usb2="00000000" w:usb3="00000000" w:csb0="00000093" w:csb1="00000000"/>
  </w:font>
  <w:font w:name="Times New (W1)">
    <w:altName w:val="Times New Roman"/>
    <w:panose1 w:val="02020603050405020304"/>
    <w:charset w:val="EE"/>
    <w:family w:val="roman"/>
    <w:pitch w:val="variable"/>
    <w:sig w:usb0="20002A87" w:usb1="80000000" w:usb2="00000008" w:usb3="00000000" w:csb0="000001FF" w:csb1="00000000"/>
  </w:font>
  <w:font w:name="CachetBook">
    <w:altName w:val="Tele-GroteskNor"/>
    <w:panose1 w:val="020F0503030404040204"/>
    <w:charset w:val="EE"/>
    <w:family w:val="swiss"/>
    <w:pitch w:val="variable"/>
    <w:sig w:usb0="0000000F" w:usb1="00000000" w:usb2="00000000" w:usb3="00000000" w:csb0="00000003" w:csb1="00000000"/>
  </w:font>
  <w:font w:name="Tele-GroteskEEFet">
    <w:altName w:val="Times New Roman"/>
    <w:panose1 w:val="00000000000000000000"/>
    <w:charset w:val="EE"/>
    <w:family w:val="auto"/>
    <w:pitch w:val="variable"/>
    <w:sig w:usb0="800000AF" w:usb1="0000204B" w:usb2="00000000" w:usb3="00000000" w:csb0="00000093" w:csb1="00000000"/>
  </w:font>
  <w:font w:name="Tele-GroteskEE-Halb">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ele-GroteskHal">
    <w:altName w:val="Times New Roman"/>
    <w:panose1 w:val="00000000000000000000"/>
    <w:charset w:val="EE"/>
    <w:family w:val="auto"/>
    <w:pitch w:val="variable"/>
    <w:sig w:usb0="A00002AF" w:usb1="1000205B" w:usb2="00000000" w:usb3="00000000" w:csb0="00000097" w:csb1="00000000"/>
  </w:font>
  <w:font w:name="Tele-Grotesk-Norm">
    <w:panose1 w:val="00000000000000000000"/>
    <w:charset w:val="EE"/>
    <w:family w:val="auto"/>
    <w:notTrueType/>
    <w:pitch w:val="default"/>
    <w:sig w:usb0="00000005" w:usb1="00000000" w:usb2="00000000" w:usb3="00000000" w:csb0="00000002" w:csb1="00000000"/>
  </w:font>
  <w:font w:name="Arial (W1)">
    <w:altName w:val="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26" w:rsidRDefault="003E4626" w:rsidP="001B1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4626" w:rsidRDefault="003E4626" w:rsidP="001B17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26" w:rsidRPr="00A847B8" w:rsidRDefault="003E4626" w:rsidP="001B1772">
    <w:pPr>
      <w:pStyle w:val="Footer"/>
      <w:framePr w:wrap="around" w:vAnchor="text" w:hAnchor="margin" w:xAlign="right" w:y="1"/>
      <w:rPr>
        <w:rStyle w:val="PageNumber"/>
        <w:sz w:val="20"/>
      </w:rPr>
    </w:pPr>
    <w:r w:rsidRPr="00A847B8">
      <w:rPr>
        <w:rStyle w:val="PageNumber"/>
        <w:sz w:val="20"/>
      </w:rPr>
      <w:fldChar w:fldCharType="begin"/>
    </w:r>
    <w:r w:rsidRPr="00A847B8">
      <w:rPr>
        <w:rStyle w:val="PageNumber"/>
        <w:sz w:val="20"/>
      </w:rPr>
      <w:instrText xml:space="preserve">PAGE  </w:instrText>
    </w:r>
    <w:r w:rsidRPr="00A847B8">
      <w:rPr>
        <w:rStyle w:val="PageNumber"/>
        <w:sz w:val="20"/>
      </w:rPr>
      <w:fldChar w:fldCharType="separate"/>
    </w:r>
    <w:r>
      <w:rPr>
        <w:rStyle w:val="PageNumber"/>
        <w:noProof/>
        <w:sz w:val="20"/>
      </w:rPr>
      <w:t>10</w:t>
    </w:r>
    <w:r w:rsidRPr="00A847B8">
      <w:rPr>
        <w:rStyle w:val="PageNumber"/>
        <w:sz w:val="20"/>
      </w:rPr>
      <w:fldChar w:fldCharType="end"/>
    </w:r>
  </w:p>
  <w:p w:rsidR="003E4626" w:rsidRDefault="003E4626">
    <w:r>
      <w:rPr>
        <w:noProof/>
        <w:lang w:val="hr-HR" w:eastAsia="hr-HR"/>
      </w:rPr>
      <w:pict>
        <v:shapetype id="_x0000_t202" coordsize="21600,21600" o:spt="202" path="m,l,21600r21600,l21600,xe">
          <v:stroke joinstyle="miter"/>
          <v:path gradientshapeok="t" o:connecttype="rect"/>
        </v:shapetype>
        <v:shape id="Text Box 2" o:spid="_x0000_s2050" type="#_x0000_t202" style="position:absolute;margin-left:34pt;margin-top:796.65pt;width:45.35pt;height:28.35pt;z-index:251657216;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M7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" filled="f" stroked="f">
          <v:textbox inset="0,0,0,0">
            <w:txbxContent>
              <w:p w:rsidR="003E4626" w:rsidRDefault="003E4626" w:rsidP="001B1772">
                <w:pPr>
                  <w:pStyle w:val="KorpInf"/>
                </w:pPr>
              </w:p>
              <w:p w:rsidR="003E4626" w:rsidRDefault="003E4626" w:rsidP="001B1772">
                <w:pPr>
                  <w:pStyle w:val="KorpInf"/>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626" w:rsidRDefault="003E4626">
      <w:r>
        <w:separator/>
      </w:r>
    </w:p>
  </w:footnote>
  <w:footnote w:type="continuationSeparator" w:id="1">
    <w:p w:rsidR="003E4626" w:rsidRDefault="003E4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3" w:type="dxa"/>
      <w:tblCellMar>
        <w:left w:w="0" w:type="dxa"/>
        <w:right w:w="0" w:type="dxa"/>
      </w:tblCellMar>
      <w:tblLook w:val="01E0"/>
    </w:tblPr>
    <w:tblGrid>
      <w:gridCol w:w="5103"/>
      <w:gridCol w:w="4430"/>
    </w:tblGrid>
    <w:tr w:rsidR="003E4626">
      <w:tc>
        <w:tcPr>
          <w:tcW w:w="5103" w:type="dxa"/>
        </w:tcPr>
        <w:p w:rsidR="003E4626" w:rsidRDefault="003E4626">
          <w:pPr>
            <w:pStyle w:val="Heade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THT_Label_1_3C_re_M" style="position:absolute;margin-left:-48pt;margin-top:-1.45pt;width:535.5pt;height:51.75pt;z-index:251658240;visibility:visible;mso-position-horizontal-relative:page;mso-position-vertical-relative:page">
                <v:imagedata r:id="rId1" o:title=""/>
                <w10:wrap anchorx="page" anchory="page"/>
              </v:shape>
            </w:pict>
          </w:r>
        </w:p>
      </w:tc>
      <w:tc>
        <w:tcPr>
          <w:tcW w:w="4430" w:type="dxa"/>
        </w:tcPr>
        <w:p w:rsidR="003E4626" w:rsidRDefault="003E4626">
          <w:pPr>
            <w:jc w:val="right"/>
          </w:pPr>
        </w:p>
      </w:tc>
    </w:tr>
  </w:tbl>
  <w:p w:rsidR="003E4626" w:rsidRDefault="003E46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26" w:rsidRDefault="003E4626">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THT_Label_1_3C_re_M" style="position:absolute;margin-left:29.5pt;margin-top:28.35pt;width:535.5pt;height:51.75pt;z-index:251656192;visibility:visible;mso-position-horizontal-relative:page;mso-position-vertical-relative:page">
          <v:imagedata r:id="rId1" o:title=""/>
          <w10:wrap anchorx="page" anchory="page"/>
        </v:shape>
      </w:pict>
    </w:r>
    <w:r>
      <w:rPr>
        <w:noProof/>
        <w:lang w:val="hr-HR" w:eastAsia="hr-HR"/>
      </w:rPr>
      <w:pict>
        <v:shapetype id="_x0000_t202" coordsize="21600,21600" o:spt="202" path="m,l,21600r21600,l21600,xe">
          <v:stroke joinstyle="miter"/>
          <v:path gradientshapeok="t" o:connecttype="rect"/>
        </v:shapetype>
        <v:shape id="Text Box 4" o:spid="_x0000_s2052" type="#_x0000_t202" style="position:absolute;margin-left:524.5pt;margin-top:446.5pt;width:45.35pt;height:325.7pt;z-index:-251657216;visibility:visible;mso-wrap-distance-left:9.05pt;mso-wrap-distance-right:9.05pt;mso-position-horizontal-relative:page;mso-position-vertical-relative:page" wrapcoords="-360 0 -360 21550 21600 21550 21600 0 -3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" stroked="f">
          <v:textbox style="layout-flow:vertical;mso-layout-flow-alt:bottom-to-top" inset="0,0,0,0">
            <w:txbxContent>
              <w:p w:rsidR="003E4626" w:rsidRPr="00E67D53" w:rsidRDefault="003E4626">
                <w:pPr>
                  <w:spacing w:line="860" w:lineRule="exact"/>
                  <w:rPr>
                    <w:rFonts w:ascii="Tele-AntiquaEE" w:hAnsi="Tele-AntiquaEE" w:cs="Arial (W1)"/>
                    <w:color w:val="666666"/>
                    <w:sz w:val="50"/>
                    <w:szCs w:val="50"/>
                  </w:rPr>
                </w:pPr>
              </w:p>
            </w:txbxContent>
          </v:textbox>
          <w10:wrap type="tight"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3F1986"/>
    <w:multiLevelType w:val="hybridMultilevel"/>
    <w:tmpl w:val="BEB6E446"/>
    <w:lvl w:ilvl="0" w:tplc="DA4E9A12">
      <w:start w:val="1"/>
      <w:numFmt w:val="bullet"/>
      <w:lvlText w:val=""/>
      <w:lvlJc w:val="left"/>
      <w:pPr>
        <w:tabs>
          <w:tab w:val="num" w:pos="720"/>
        </w:tabs>
        <w:ind w:left="720" w:hanging="360"/>
      </w:pPr>
      <w:rPr>
        <w:rFonts w:ascii="Webdings" w:hAnsi="Webdings" w:hint="default"/>
      </w:rPr>
    </w:lvl>
    <w:lvl w:ilvl="1" w:tplc="462EE8FC">
      <w:start w:val="1"/>
      <w:numFmt w:val="decimal"/>
      <w:lvlText w:val="%2."/>
      <w:lvlJc w:val="left"/>
      <w:pPr>
        <w:tabs>
          <w:tab w:val="num" w:pos="1440"/>
        </w:tabs>
        <w:ind w:left="1440" w:hanging="360"/>
      </w:pPr>
      <w:rPr>
        <w:rFonts w:cs="Times New Roman"/>
      </w:rPr>
    </w:lvl>
    <w:lvl w:ilvl="2" w:tplc="97DC6C74">
      <w:start w:val="1"/>
      <w:numFmt w:val="decimal"/>
      <w:lvlText w:val="%3."/>
      <w:lvlJc w:val="left"/>
      <w:pPr>
        <w:tabs>
          <w:tab w:val="num" w:pos="2160"/>
        </w:tabs>
        <w:ind w:left="2160" w:hanging="360"/>
      </w:pPr>
      <w:rPr>
        <w:rFonts w:cs="Times New Roman"/>
      </w:rPr>
    </w:lvl>
    <w:lvl w:ilvl="3" w:tplc="0F2A3158">
      <w:start w:val="1"/>
      <w:numFmt w:val="decimal"/>
      <w:lvlText w:val="%4."/>
      <w:lvlJc w:val="left"/>
      <w:pPr>
        <w:tabs>
          <w:tab w:val="num" w:pos="2880"/>
        </w:tabs>
        <w:ind w:left="2880" w:hanging="360"/>
      </w:pPr>
      <w:rPr>
        <w:rFonts w:cs="Times New Roman"/>
      </w:rPr>
    </w:lvl>
    <w:lvl w:ilvl="4" w:tplc="65A4E2AE">
      <w:start w:val="1"/>
      <w:numFmt w:val="decimal"/>
      <w:lvlText w:val="%5."/>
      <w:lvlJc w:val="left"/>
      <w:pPr>
        <w:tabs>
          <w:tab w:val="num" w:pos="3600"/>
        </w:tabs>
        <w:ind w:left="3600" w:hanging="360"/>
      </w:pPr>
      <w:rPr>
        <w:rFonts w:cs="Times New Roman"/>
      </w:rPr>
    </w:lvl>
    <w:lvl w:ilvl="5" w:tplc="D8BAEF3C">
      <w:start w:val="1"/>
      <w:numFmt w:val="decimal"/>
      <w:lvlText w:val="%6."/>
      <w:lvlJc w:val="left"/>
      <w:pPr>
        <w:tabs>
          <w:tab w:val="num" w:pos="4320"/>
        </w:tabs>
        <w:ind w:left="4320" w:hanging="360"/>
      </w:pPr>
      <w:rPr>
        <w:rFonts w:cs="Times New Roman"/>
      </w:rPr>
    </w:lvl>
    <w:lvl w:ilvl="6" w:tplc="91B66398">
      <w:start w:val="1"/>
      <w:numFmt w:val="decimal"/>
      <w:lvlText w:val="%7."/>
      <w:lvlJc w:val="left"/>
      <w:pPr>
        <w:tabs>
          <w:tab w:val="num" w:pos="5040"/>
        </w:tabs>
        <w:ind w:left="5040" w:hanging="360"/>
      </w:pPr>
      <w:rPr>
        <w:rFonts w:cs="Times New Roman"/>
      </w:rPr>
    </w:lvl>
    <w:lvl w:ilvl="7" w:tplc="32DA5D50">
      <w:start w:val="1"/>
      <w:numFmt w:val="decimal"/>
      <w:lvlText w:val="%8."/>
      <w:lvlJc w:val="left"/>
      <w:pPr>
        <w:tabs>
          <w:tab w:val="num" w:pos="5760"/>
        </w:tabs>
        <w:ind w:left="5760" w:hanging="360"/>
      </w:pPr>
      <w:rPr>
        <w:rFonts w:cs="Times New Roman"/>
      </w:rPr>
    </w:lvl>
    <w:lvl w:ilvl="8" w:tplc="4AE6BD22">
      <w:start w:val="1"/>
      <w:numFmt w:val="decimal"/>
      <w:lvlText w:val="%9."/>
      <w:lvlJc w:val="left"/>
      <w:pPr>
        <w:tabs>
          <w:tab w:val="num" w:pos="6480"/>
        </w:tabs>
        <w:ind w:left="6480" w:hanging="360"/>
      </w:pPr>
      <w:rPr>
        <w:rFonts w:cs="Times New Roman"/>
      </w:rPr>
    </w:lvl>
  </w:abstractNum>
  <w:abstractNum w:abstractNumId="4">
    <w:nsid w:val="02355321"/>
    <w:multiLevelType w:val="hybridMultilevel"/>
    <w:tmpl w:val="BDA60910"/>
    <w:lvl w:ilvl="0" w:tplc="4C3886BE">
      <w:start w:val="1"/>
      <w:numFmt w:val="bullet"/>
      <w:lvlText w:val=""/>
      <w:lvlJc w:val="left"/>
      <w:pPr>
        <w:tabs>
          <w:tab w:val="num" w:pos="724"/>
        </w:tabs>
        <w:ind w:left="724" w:hanging="360"/>
      </w:pPr>
      <w:rPr>
        <w:rFonts w:ascii="Symbol" w:hAnsi="Symbol" w:hint="default"/>
        <w:color w:val="auto"/>
      </w:rPr>
    </w:lvl>
    <w:lvl w:ilvl="1" w:tplc="A95012E2">
      <w:start w:val="1"/>
      <w:numFmt w:val="bullet"/>
      <w:lvlText w:val=""/>
      <w:lvlJc w:val="left"/>
      <w:pPr>
        <w:tabs>
          <w:tab w:val="num" w:pos="1444"/>
        </w:tabs>
        <w:ind w:left="1444" w:hanging="360"/>
      </w:pPr>
      <w:rPr>
        <w:rFonts w:ascii="Wingdings" w:hAnsi="Wingdings" w:hint="default"/>
      </w:rPr>
    </w:lvl>
    <w:lvl w:ilvl="2" w:tplc="4C3886BE">
      <w:start w:val="1"/>
      <w:numFmt w:val="bullet"/>
      <w:lvlText w:val=""/>
      <w:lvlJc w:val="left"/>
      <w:pPr>
        <w:tabs>
          <w:tab w:val="num" w:pos="2164"/>
        </w:tabs>
        <w:ind w:left="2164" w:hanging="360"/>
      </w:pPr>
      <w:rPr>
        <w:rFonts w:ascii="Symbol" w:hAnsi="Symbol" w:hint="default"/>
        <w:color w:val="auto"/>
      </w:rPr>
    </w:lvl>
    <w:lvl w:ilvl="3" w:tplc="1F24F0CC" w:tentative="1">
      <w:start w:val="1"/>
      <w:numFmt w:val="bullet"/>
      <w:lvlText w:val=""/>
      <w:lvlJc w:val="left"/>
      <w:pPr>
        <w:tabs>
          <w:tab w:val="num" w:pos="2884"/>
        </w:tabs>
        <w:ind w:left="2884" w:hanging="360"/>
      </w:pPr>
      <w:rPr>
        <w:rFonts w:ascii="Wingdings" w:hAnsi="Wingdings" w:hint="default"/>
      </w:rPr>
    </w:lvl>
    <w:lvl w:ilvl="4" w:tplc="7B6093F4" w:tentative="1">
      <w:start w:val="1"/>
      <w:numFmt w:val="bullet"/>
      <w:lvlText w:val=""/>
      <w:lvlJc w:val="left"/>
      <w:pPr>
        <w:tabs>
          <w:tab w:val="num" w:pos="3604"/>
        </w:tabs>
        <w:ind w:left="3604" w:hanging="360"/>
      </w:pPr>
      <w:rPr>
        <w:rFonts w:ascii="Wingdings" w:hAnsi="Wingdings" w:hint="default"/>
      </w:rPr>
    </w:lvl>
    <w:lvl w:ilvl="5" w:tplc="6108FE94" w:tentative="1">
      <w:start w:val="1"/>
      <w:numFmt w:val="bullet"/>
      <w:lvlText w:val=""/>
      <w:lvlJc w:val="left"/>
      <w:pPr>
        <w:tabs>
          <w:tab w:val="num" w:pos="4324"/>
        </w:tabs>
        <w:ind w:left="4324" w:hanging="360"/>
      </w:pPr>
      <w:rPr>
        <w:rFonts w:ascii="Wingdings" w:hAnsi="Wingdings" w:hint="default"/>
      </w:rPr>
    </w:lvl>
    <w:lvl w:ilvl="6" w:tplc="FD2E9404" w:tentative="1">
      <w:start w:val="1"/>
      <w:numFmt w:val="bullet"/>
      <w:lvlText w:val=""/>
      <w:lvlJc w:val="left"/>
      <w:pPr>
        <w:tabs>
          <w:tab w:val="num" w:pos="5044"/>
        </w:tabs>
        <w:ind w:left="5044" w:hanging="360"/>
      </w:pPr>
      <w:rPr>
        <w:rFonts w:ascii="Wingdings" w:hAnsi="Wingdings" w:hint="default"/>
      </w:rPr>
    </w:lvl>
    <w:lvl w:ilvl="7" w:tplc="CB8A111A" w:tentative="1">
      <w:start w:val="1"/>
      <w:numFmt w:val="bullet"/>
      <w:lvlText w:val=""/>
      <w:lvlJc w:val="left"/>
      <w:pPr>
        <w:tabs>
          <w:tab w:val="num" w:pos="5764"/>
        </w:tabs>
        <w:ind w:left="5764" w:hanging="360"/>
      </w:pPr>
      <w:rPr>
        <w:rFonts w:ascii="Wingdings" w:hAnsi="Wingdings" w:hint="default"/>
      </w:rPr>
    </w:lvl>
    <w:lvl w:ilvl="8" w:tplc="7B169EB2" w:tentative="1">
      <w:start w:val="1"/>
      <w:numFmt w:val="bullet"/>
      <w:lvlText w:val=""/>
      <w:lvlJc w:val="left"/>
      <w:pPr>
        <w:tabs>
          <w:tab w:val="num" w:pos="6484"/>
        </w:tabs>
        <w:ind w:left="6484" w:hanging="360"/>
      </w:pPr>
      <w:rPr>
        <w:rFonts w:ascii="Wingdings" w:hAnsi="Wingdings" w:hint="default"/>
      </w:rPr>
    </w:lvl>
  </w:abstractNum>
  <w:abstractNum w:abstractNumId="5">
    <w:nsid w:val="0B7118DD"/>
    <w:multiLevelType w:val="multilevel"/>
    <w:tmpl w:val="478A01A6"/>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6">
    <w:nsid w:val="0C4A11AD"/>
    <w:multiLevelType w:val="hybridMultilevel"/>
    <w:tmpl w:val="83389D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D9A78AC"/>
    <w:multiLevelType w:val="hybridMultilevel"/>
    <w:tmpl w:val="617A19CC"/>
    <w:lvl w:ilvl="0" w:tplc="DC86AAC4">
      <w:numFmt w:val="bullet"/>
      <w:lvlText w:val="­"/>
      <w:lvlJc w:val="left"/>
      <w:pPr>
        <w:tabs>
          <w:tab w:val="num" w:pos="1440"/>
        </w:tabs>
        <w:ind w:left="144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DD300CF"/>
    <w:multiLevelType w:val="hybridMultilevel"/>
    <w:tmpl w:val="50D0CBF0"/>
    <w:lvl w:ilvl="0" w:tplc="2BE0949E">
      <w:start w:val="1"/>
      <w:numFmt w:val="bullet"/>
      <w:lvlText w:val=""/>
      <w:lvlJc w:val="left"/>
      <w:pPr>
        <w:tabs>
          <w:tab w:val="num" w:pos="720"/>
        </w:tabs>
        <w:ind w:left="720" w:hanging="360"/>
      </w:pPr>
      <w:rPr>
        <w:rFonts w:ascii="Webdings" w:hAnsi="Webdings" w:hint="default"/>
      </w:rPr>
    </w:lvl>
    <w:lvl w:ilvl="1" w:tplc="EB7EC20C" w:tentative="1">
      <w:start w:val="1"/>
      <w:numFmt w:val="bullet"/>
      <w:lvlText w:val=""/>
      <w:lvlJc w:val="left"/>
      <w:pPr>
        <w:tabs>
          <w:tab w:val="num" w:pos="1440"/>
        </w:tabs>
        <w:ind w:left="1440" w:hanging="360"/>
      </w:pPr>
      <w:rPr>
        <w:rFonts w:ascii="Webdings" w:hAnsi="Webdings" w:hint="default"/>
      </w:rPr>
    </w:lvl>
    <w:lvl w:ilvl="2" w:tplc="E2D6BAAA" w:tentative="1">
      <w:start w:val="1"/>
      <w:numFmt w:val="bullet"/>
      <w:lvlText w:val=""/>
      <w:lvlJc w:val="left"/>
      <w:pPr>
        <w:tabs>
          <w:tab w:val="num" w:pos="2160"/>
        </w:tabs>
        <w:ind w:left="2160" w:hanging="360"/>
      </w:pPr>
      <w:rPr>
        <w:rFonts w:ascii="Webdings" w:hAnsi="Webdings" w:hint="default"/>
      </w:rPr>
    </w:lvl>
    <w:lvl w:ilvl="3" w:tplc="C2221618" w:tentative="1">
      <w:start w:val="1"/>
      <w:numFmt w:val="bullet"/>
      <w:lvlText w:val=""/>
      <w:lvlJc w:val="left"/>
      <w:pPr>
        <w:tabs>
          <w:tab w:val="num" w:pos="2880"/>
        </w:tabs>
        <w:ind w:left="2880" w:hanging="360"/>
      </w:pPr>
      <w:rPr>
        <w:rFonts w:ascii="Webdings" w:hAnsi="Webdings" w:hint="default"/>
      </w:rPr>
    </w:lvl>
    <w:lvl w:ilvl="4" w:tplc="064AC7F8" w:tentative="1">
      <w:start w:val="1"/>
      <w:numFmt w:val="bullet"/>
      <w:lvlText w:val=""/>
      <w:lvlJc w:val="left"/>
      <w:pPr>
        <w:tabs>
          <w:tab w:val="num" w:pos="3600"/>
        </w:tabs>
        <w:ind w:left="3600" w:hanging="360"/>
      </w:pPr>
      <w:rPr>
        <w:rFonts w:ascii="Webdings" w:hAnsi="Webdings" w:hint="default"/>
      </w:rPr>
    </w:lvl>
    <w:lvl w:ilvl="5" w:tplc="07FA8040" w:tentative="1">
      <w:start w:val="1"/>
      <w:numFmt w:val="bullet"/>
      <w:lvlText w:val=""/>
      <w:lvlJc w:val="left"/>
      <w:pPr>
        <w:tabs>
          <w:tab w:val="num" w:pos="4320"/>
        </w:tabs>
        <w:ind w:left="4320" w:hanging="360"/>
      </w:pPr>
      <w:rPr>
        <w:rFonts w:ascii="Webdings" w:hAnsi="Webdings" w:hint="default"/>
      </w:rPr>
    </w:lvl>
    <w:lvl w:ilvl="6" w:tplc="7F9E50B6" w:tentative="1">
      <w:start w:val="1"/>
      <w:numFmt w:val="bullet"/>
      <w:lvlText w:val=""/>
      <w:lvlJc w:val="left"/>
      <w:pPr>
        <w:tabs>
          <w:tab w:val="num" w:pos="5040"/>
        </w:tabs>
        <w:ind w:left="5040" w:hanging="360"/>
      </w:pPr>
      <w:rPr>
        <w:rFonts w:ascii="Webdings" w:hAnsi="Webdings" w:hint="default"/>
      </w:rPr>
    </w:lvl>
    <w:lvl w:ilvl="7" w:tplc="ED3835F4" w:tentative="1">
      <w:start w:val="1"/>
      <w:numFmt w:val="bullet"/>
      <w:lvlText w:val=""/>
      <w:lvlJc w:val="left"/>
      <w:pPr>
        <w:tabs>
          <w:tab w:val="num" w:pos="5760"/>
        </w:tabs>
        <w:ind w:left="5760" w:hanging="360"/>
      </w:pPr>
      <w:rPr>
        <w:rFonts w:ascii="Webdings" w:hAnsi="Webdings" w:hint="default"/>
      </w:rPr>
    </w:lvl>
    <w:lvl w:ilvl="8" w:tplc="4880BED0" w:tentative="1">
      <w:start w:val="1"/>
      <w:numFmt w:val="bullet"/>
      <w:lvlText w:val=""/>
      <w:lvlJc w:val="left"/>
      <w:pPr>
        <w:tabs>
          <w:tab w:val="num" w:pos="6480"/>
        </w:tabs>
        <w:ind w:left="6480" w:hanging="360"/>
      </w:pPr>
      <w:rPr>
        <w:rFonts w:ascii="Webdings" w:hAnsi="Webdings" w:hint="default"/>
      </w:rPr>
    </w:lvl>
  </w:abstractNum>
  <w:abstractNum w:abstractNumId="9">
    <w:nsid w:val="13C23D1D"/>
    <w:multiLevelType w:val="hybridMultilevel"/>
    <w:tmpl w:val="62C8F5AA"/>
    <w:lvl w:ilvl="0" w:tplc="29CE2994">
      <w:start w:val="1"/>
      <w:numFmt w:val="bullet"/>
      <w:lvlText w:val=""/>
      <w:lvlJc w:val="left"/>
      <w:pPr>
        <w:tabs>
          <w:tab w:val="num" w:pos="720"/>
        </w:tabs>
        <w:ind w:left="720" w:hanging="360"/>
      </w:pPr>
      <w:rPr>
        <w:rFonts w:ascii="Webdings" w:hAnsi="Webdings" w:hint="default"/>
      </w:rPr>
    </w:lvl>
    <w:lvl w:ilvl="1" w:tplc="84E81FB2">
      <w:start w:val="1"/>
      <w:numFmt w:val="decimal"/>
      <w:lvlText w:val="%2."/>
      <w:lvlJc w:val="left"/>
      <w:pPr>
        <w:tabs>
          <w:tab w:val="num" w:pos="1440"/>
        </w:tabs>
        <w:ind w:left="1440" w:hanging="360"/>
      </w:pPr>
      <w:rPr>
        <w:rFonts w:cs="Times New Roman"/>
      </w:rPr>
    </w:lvl>
    <w:lvl w:ilvl="2" w:tplc="40F68E6E">
      <w:start w:val="1"/>
      <w:numFmt w:val="decimal"/>
      <w:lvlText w:val="%3."/>
      <w:lvlJc w:val="left"/>
      <w:pPr>
        <w:tabs>
          <w:tab w:val="num" w:pos="2160"/>
        </w:tabs>
        <w:ind w:left="2160" w:hanging="360"/>
      </w:pPr>
      <w:rPr>
        <w:rFonts w:cs="Times New Roman"/>
      </w:rPr>
    </w:lvl>
    <w:lvl w:ilvl="3" w:tplc="929CE1EA">
      <w:start w:val="1"/>
      <w:numFmt w:val="decimal"/>
      <w:lvlText w:val="%4."/>
      <w:lvlJc w:val="left"/>
      <w:pPr>
        <w:tabs>
          <w:tab w:val="num" w:pos="2880"/>
        </w:tabs>
        <w:ind w:left="2880" w:hanging="360"/>
      </w:pPr>
      <w:rPr>
        <w:rFonts w:cs="Times New Roman"/>
      </w:rPr>
    </w:lvl>
    <w:lvl w:ilvl="4" w:tplc="69C4F214">
      <w:start w:val="1"/>
      <w:numFmt w:val="decimal"/>
      <w:lvlText w:val="%5."/>
      <w:lvlJc w:val="left"/>
      <w:pPr>
        <w:tabs>
          <w:tab w:val="num" w:pos="3600"/>
        </w:tabs>
        <w:ind w:left="3600" w:hanging="360"/>
      </w:pPr>
      <w:rPr>
        <w:rFonts w:cs="Times New Roman"/>
      </w:rPr>
    </w:lvl>
    <w:lvl w:ilvl="5" w:tplc="72606BB0">
      <w:start w:val="1"/>
      <w:numFmt w:val="decimal"/>
      <w:lvlText w:val="%6."/>
      <w:lvlJc w:val="left"/>
      <w:pPr>
        <w:tabs>
          <w:tab w:val="num" w:pos="4320"/>
        </w:tabs>
        <w:ind w:left="4320" w:hanging="360"/>
      </w:pPr>
      <w:rPr>
        <w:rFonts w:cs="Times New Roman"/>
      </w:rPr>
    </w:lvl>
    <w:lvl w:ilvl="6" w:tplc="A968776C">
      <w:start w:val="1"/>
      <w:numFmt w:val="decimal"/>
      <w:lvlText w:val="%7."/>
      <w:lvlJc w:val="left"/>
      <w:pPr>
        <w:tabs>
          <w:tab w:val="num" w:pos="5040"/>
        </w:tabs>
        <w:ind w:left="5040" w:hanging="360"/>
      </w:pPr>
      <w:rPr>
        <w:rFonts w:cs="Times New Roman"/>
      </w:rPr>
    </w:lvl>
    <w:lvl w:ilvl="7" w:tplc="0468478E">
      <w:start w:val="1"/>
      <w:numFmt w:val="decimal"/>
      <w:lvlText w:val="%8."/>
      <w:lvlJc w:val="left"/>
      <w:pPr>
        <w:tabs>
          <w:tab w:val="num" w:pos="5760"/>
        </w:tabs>
        <w:ind w:left="5760" w:hanging="360"/>
      </w:pPr>
      <w:rPr>
        <w:rFonts w:cs="Times New Roman"/>
      </w:rPr>
    </w:lvl>
    <w:lvl w:ilvl="8" w:tplc="7234CAFE">
      <w:start w:val="1"/>
      <w:numFmt w:val="decimal"/>
      <w:lvlText w:val="%9."/>
      <w:lvlJc w:val="left"/>
      <w:pPr>
        <w:tabs>
          <w:tab w:val="num" w:pos="6480"/>
        </w:tabs>
        <w:ind w:left="6480" w:hanging="360"/>
      </w:pPr>
      <w:rPr>
        <w:rFonts w:cs="Times New Roman"/>
      </w:rPr>
    </w:lvl>
  </w:abstractNum>
  <w:abstractNum w:abstractNumId="10">
    <w:nsid w:val="151A2E77"/>
    <w:multiLevelType w:val="hybridMultilevel"/>
    <w:tmpl w:val="83FE18E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63D5F83"/>
    <w:multiLevelType w:val="multilevel"/>
    <w:tmpl w:val="16F0539E"/>
    <w:lvl w:ilvl="0">
      <w:start w:val="1"/>
      <w:numFmt w:val="lowerLetter"/>
      <w:pStyle w:val="Numbered2"/>
      <w:lvlText w:val="%1)"/>
      <w:lvlJc w:val="left"/>
      <w:pPr>
        <w:tabs>
          <w:tab w:val="num" w:pos="360"/>
        </w:tabs>
        <w:ind w:left="360" w:hanging="360"/>
      </w:pPr>
      <w:rPr>
        <w:rFonts w:ascii="Arial" w:hAnsi="Arial" w:cs="Times New Roman" w:hint="default"/>
        <w:b w:val="0"/>
        <w:i/>
        <w:caps w:val="0"/>
        <w:strike w:val="0"/>
        <w:dstrike w:val="0"/>
        <w:outline w:val="0"/>
        <w:shadow w:val="0"/>
        <w:emboss w:val="0"/>
        <w:imprint w:val="0"/>
        <w:vanish w:val="0"/>
        <w:color w:val="auto"/>
        <w:spacing w:val="0"/>
        <w:w w:val="100"/>
        <w:kern w:val="19"/>
        <w:position w:val="0"/>
        <w:sz w:val="19"/>
        <w:szCs w:val="19"/>
        <w:u w:val="none"/>
        <w:vertAlign w:val="baseline"/>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7D56F8A"/>
    <w:multiLevelType w:val="hybridMultilevel"/>
    <w:tmpl w:val="CBB8EA26"/>
    <w:lvl w:ilvl="0" w:tplc="EB40828C">
      <w:start w:val="2009"/>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18A11F87"/>
    <w:multiLevelType w:val="multilevel"/>
    <w:tmpl w:val="478A01A6"/>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14">
    <w:nsid w:val="1B9134F0"/>
    <w:multiLevelType w:val="hybridMultilevel"/>
    <w:tmpl w:val="1714B88E"/>
    <w:lvl w:ilvl="0" w:tplc="B4246FCE">
      <w:start w:val="1"/>
      <w:numFmt w:val="bullet"/>
      <w:lvlText w:val=""/>
      <w:lvlJc w:val="left"/>
      <w:pPr>
        <w:tabs>
          <w:tab w:val="num" w:pos="720"/>
        </w:tabs>
        <w:ind w:left="720" w:hanging="360"/>
      </w:pPr>
      <w:rPr>
        <w:rFonts w:ascii="Webdings" w:hAnsi="Webdings" w:hint="default"/>
      </w:rPr>
    </w:lvl>
    <w:lvl w:ilvl="1" w:tplc="AE94FF86" w:tentative="1">
      <w:start w:val="1"/>
      <w:numFmt w:val="bullet"/>
      <w:lvlText w:val=""/>
      <w:lvlJc w:val="left"/>
      <w:pPr>
        <w:tabs>
          <w:tab w:val="num" w:pos="1440"/>
        </w:tabs>
        <w:ind w:left="1440" w:hanging="360"/>
      </w:pPr>
      <w:rPr>
        <w:rFonts w:ascii="Webdings" w:hAnsi="Webdings" w:hint="default"/>
      </w:rPr>
    </w:lvl>
    <w:lvl w:ilvl="2" w:tplc="7422BA84" w:tentative="1">
      <w:start w:val="1"/>
      <w:numFmt w:val="bullet"/>
      <w:lvlText w:val=""/>
      <w:lvlJc w:val="left"/>
      <w:pPr>
        <w:tabs>
          <w:tab w:val="num" w:pos="2160"/>
        </w:tabs>
        <w:ind w:left="2160" w:hanging="360"/>
      </w:pPr>
      <w:rPr>
        <w:rFonts w:ascii="Webdings" w:hAnsi="Webdings" w:hint="default"/>
      </w:rPr>
    </w:lvl>
    <w:lvl w:ilvl="3" w:tplc="109EE496" w:tentative="1">
      <w:start w:val="1"/>
      <w:numFmt w:val="bullet"/>
      <w:lvlText w:val=""/>
      <w:lvlJc w:val="left"/>
      <w:pPr>
        <w:tabs>
          <w:tab w:val="num" w:pos="2880"/>
        </w:tabs>
        <w:ind w:left="2880" w:hanging="360"/>
      </w:pPr>
      <w:rPr>
        <w:rFonts w:ascii="Webdings" w:hAnsi="Webdings" w:hint="default"/>
      </w:rPr>
    </w:lvl>
    <w:lvl w:ilvl="4" w:tplc="0388DAE6" w:tentative="1">
      <w:start w:val="1"/>
      <w:numFmt w:val="bullet"/>
      <w:lvlText w:val=""/>
      <w:lvlJc w:val="left"/>
      <w:pPr>
        <w:tabs>
          <w:tab w:val="num" w:pos="3600"/>
        </w:tabs>
        <w:ind w:left="3600" w:hanging="360"/>
      </w:pPr>
      <w:rPr>
        <w:rFonts w:ascii="Webdings" w:hAnsi="Webdings" w:hint="default"/>
      </w:rPr>
    </w:lvl>
    <w:lvl w:ilvl="5" w:tplc="540E1764" w:tentative="1">
      <w:start w:val="1"/>
      <w:numFmt w:val="bullet"/>
      <w:lvlText w:val=""/>
      <w:lvlJc w:val="left"/>
      <w:pPr>
        <w:tabs>
          <w:tab w:val="num" w:pos="4320"/>
        </w:tabs>
        <w:ind w:left="4320" w:hanging="360"/>
      </w:pPr>
      <w:rPr>
        <w:rFonts w:ascii="Webdings" w:hAnsi="Webdings" w:hint="default"/>
      </w:rPr>
    </w:lvl>
    <w:lvl w:ilvl="6" w:tplc="9BF6DCF6" w:tentative="1">
      <w:start w:val="1"/>
      <w:numFmt w:val="bullet"/>
      <w:lvlText w:val=""/>
      <w:lvlJc w:val="left"/>
      <w:pPr>
        <w:tabs>
          <w:tab w:val="num" w:pos="5040"/>
        </w:tabs>
        <w:ind w:left="5040" w:hanging="360"/>
      </w:pPr>
      <w:rPr>
        <w:rFonts w:ascii="Webdings" w:hAnsi="Webdings" w:hint="default"/>
      </w:rPr>
    </w:lvl>
    <w:lvl w:ilvl="7" w:tplc="69685862" w:tentative="1">
      <w:start w:val="1"/>
      <w:numFmt w:val="bullet"/>
      <w:lvlText w:val=""/>
      <w:lvlJc w:val="left"/>
      <w:pPr>
        <w:tabs>
          <w:tab w:val="num" w:pos="5760"/>
        </w:tabs>
        <w:ind w:left="5760" w:hanging="360"/>
      </w:pPr>
      <w:rPr>
        <w:rFonts w:ascii="Webdings" w:hAnsi="Webdings" w:hint="default"/>
      </w:rPr>
    </w:lvl>
    <w:lvl w:ilvl="8" w:tplc="FD6E077A" w:tentative="1">
      <w:start w:val="1"/>
      <w:numFmt w:val="bullet"/>
      <w:lvlText w:val=""/>
      <w:lvlJc w:val="left"/>
      <w:pPr>
        <w:tabs>
          <w:tab w:val="num" w:pos="6480"/>
        </w:tabs>
        <w:ind w:left="6480" w:hanging="360"/>
      </w:pPr>
      <w:rPr>
        <w:rFonts w:ascii="Webdings" w:hAnsi="Webdings" w:hint="default"/>
      </w:rPr>
    </w:lvl>
  </w:abstractNum>
  <w:abstractNum w:abstractNumId="15">
    <w:nsid w:val="1D835F4D"/>
    <w:multiLevelType w:val="hybridMultilevel"/>
    <w:tmpl w:val="6E74D23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1FE552F6"/>
    <w:multiLevelType w:val="hybridMultilevel"/>
    <w:tmpl w:val="E9FA9BAC"/>
    <w:lvl w:ilvl="0" w:tplc="BC3AAAB2">
      <w:start w:val="1"/>
      <w:numFmt w:val="bullet"/>
      <w:lvlText w:val=""/>
      <w:lvlJc w:val="left"/>
      <w:pPr>
        <w:tabs>
          <w:tab w:val="num" w:pos="720"/>
        </w:tabs>
        <w:ind w:left="720" w:hanging="360"/>
      </w:pPr>
      <w:rPr>
        <w:rFonts w:ascii="Webdings" w:hAnsi="Webdings" w:hint="default"/>
      </w:rPr>
    </w:lvl>
    <w:lvl w:ilvl="1" w:tplc="19A659E8">
      <w:start w:val="1"/>
      <w:numFmt w:val="decimal"/>
      <w:lvlText w:val="%2."/>
      <w:lvlJc w:val="left"/>
      <w:pPr>
        <w:tabs>
          <w:tab w:val="num" w:pos="1440"/>
        </w:tabs>
        <w:ind w:left="1440" w:hanging="360"/>
      </w:pPr>
      <w:rPr>
        <w:rFonts w:cs="Times New Roman"/>
      </w:rPr>
    </w:lvl>
    <w:lvl w:ilvl="2" w:tplc="85266B18">
      <w:start w:val="1"/>
      <w:numFmt w:val="decimal"/>
      <w:lvlText w:val="%3."/>
      <w:lvlJc w:val="left"/>
      <w:pPr>
        <w:tabs>
          <w:tab w:val="num" w:pos="2160"/>
        </w:tabs>
        <w:ind w:left="2160" w:hanging="360"/>
      </w:pPr>
      <w:rPr>
        <w:rFonts w:cs="Times New Roman"/>
      </w:rPr>
    </w:lvl>
    <w:lvl w:ilvl="3" w:tplc="E24AEE46">
      <w:start w:val="1"/>
      <w:numFmt w:val="decimal"/>
      <w:lvlText w:val="%4."/>
      <w:lvlJc w:val="left"/>
      <w:pPr>
        <w:tabs>
          <w:tab w:val="num" w:pos="2880"/>
        </w:tabs>
        <w:ind w:left="2880" w:hanging="360"/>
      </w:pPr>
      <w:rPr>
        <w:rFonts w:cs="Times New Roman"/>
      </w:rPr>
    </w:lvl>
    <w:lvl w:ilvl="4" w:tplc="78EC5D02">
      <w:start w:val="1"/>
      <w:numFmt w:val="decimal"/>
      <w:lvlText w:val="%5."/>
      <w:lvlJc w:val="left"/>
      <w:pPr>
        <w:tabs>
          <w:tab w:val="num" w:pos="3600"/>
        </w:tabs>
        <w:ind w:left="3600" w:hanging="360"/>
      </w:pPr>
      <w:rPr>
        <w:rFonts w:cs="Times New Roman"/>
      </w:rPr>
    </w:lvl>
    <w:lvl w:ilvl="5" w:tplc="942264AC">
      <w:start w:val="1"/>
      <w:numFmt w:val="decimal"/>
      <w:lvlText w:val="%6."/>
      <w:lvlJc w:val="left"/>
      <w:pPr>
        <w:tabs>
          <w:tab w:val="num" w:pos="4320"/>
        </w:tabs>
        <w:ind w:left="4320" w:hanging="360"/>
      </w:pPr>
      <w:rPr>
        <w:rFonts w:cs="Times New Roman"/>
      </w:rPr>
    </w:lvl>
    <w:lvl w:ilvl="6" w:tplc="8E142020">
      <w:start w:val="1"/>
      <w:numFmt w:val="decimal"/>
      <w:lvlText w:val="%7."/>
      <w:lvlJc w:val="left"/>
      <w:pPr>
        <w:tabs>
          <w:tab w:val="num" w:pos="5040"/>
        </w:tabs>
        <w:ind w:left="5040" w:hanging="360"/>
      </w:pPr>
      <w:rPr>
        <w:rFonts w:cs="Times New Roman"/>
      </w:rPr>
    </w:lvl>
    <w:lvl w:ilvl="7" w:tplc="B6985A3E">
      <w:start w:val="1"/>
      <w:numFmt w:val="decimal"/>
      <w:lvlText w:val="%8."/>
      <w:lvlJc w:val="left"/>
      <w:pPr>
        <w:tabs>
          <w:tab w:val="num" w:pos="5760"/>
        </w:tabs>
        <w:ind w:left="5760" w:hanging="360"/>
      </w:pPr>
      <w:rPr>
        <w:rFonts w:cs="Times New Roman"/>
      </w:rPr>
    </w:lvl>
    <w:lvl w:ilvl="8" w:tplc="6778EA00">
      <w:start w:val="1"/>
      <w:numFmt w:val="decimal"/>
      <w:lvlText w:val="%9."/>
      <w:lvlJc w:val="left"/>
      <w:pPr>
        <w:tabs>
          <w:tab w:val="num" w:pos="6480"/>
        </w:tabs>
        <w:ind w:left="6480" w:hanging="360"/>
      </w:pPr>
      <w:rPr>
        <w:rFonts w:cs="Times New Roman"/>
      </w:rPr>
    </w:lvl>
  </w:abstractNum>
  <w:abstractNum w:abstractNumId="17">
    <w:nsid w:val="223E4C74"/>
    <w:multiLevelType w:val="hybridMultilevel"/>
    <w:tmpl w:val="7EFCF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187255"/>
    <w:multiLevelType w:val="hybridMultilevel"/>
    <w:tmpl w:val="FBA0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BF008B"/>
    <w:multiLevelType w:val="multilevel"/>
    <w:tmpl w:val="33B63498"/>
    <w:lvl w:ilvl="0">
      <w:start w:val="3"/>
      <w:numFmt w:val="decimal"/>
      <w:lvlText w:val="%1"/>
      <w:lvlJc w:val="left"/>
      <w:pPr>
        <w:tabs>
          <w:tab w:val="num" w:pos="360"/>
        </w:tabs>
        <w:ind w:left="360" w:hanging="360"/>
      </w:pPr>
      <w:rPr>
        <w:rFonts w:ascii="Arial Bold" w:hAnsi="Arial Bold" w:cs="Times New Roman" w:hint="default"/>
        <w:b/>
        <w:i w:val="0"/>
        <w:caps w:val="0"/>
        <w:strike w:val="0"/>
        <w:dstrike w:val="0"/>
        <w:outline w:val="0"/>
        <w:shadow w:val="0"/>
        <w:emboss w:val="0"/>
        <w:imprint w:val="0"/>
        <w:vanish w:val="0"/>
        <w:color w:val="auto"/>
        <w:spacing w:val="0"/>
        <w:w w:val="100"/>
        <w:kern w:val="19"/>
        <w:position w:val="0"/>
        <w:sz w:val="19"/>
        <w:u w:val="none"/>
        <w:vertAlign w:val="baseline"/>
      </w:rPr>
    </w:lvl>
    <w:lvl w:ilvl="1">
      <w:start w:val="5"/>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7796950"/>
    <w:multiLevelType w:val="hybridMultilevel"/>
    <w:tmpl w:val="028E3F3E"/>
    <w:lvl w:ilvl="0" w:tplc="88AA5A10">
      <w:start w:val="1"/>
      <w:numFmt w:val="bullet"/>
      <w:pStyle w:val="ListBulletdash"/>
      <w:lvlText w:val="–"/>
      <w:lvlJc w:val="left"/>
      <w:pPr>
        <w:tabs>
          <w:tab w:val="num" w:pos="360"/>
        </w:tabs>
        <w:ind w:left="357" w:hanging="357"/>
      </w:pPr>
      <w:rPr>
        <w:rFonts w:ascii="Tahoma" w:hAnsi="Tahoma"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3D4DF4"/>
    <w:multiLevelType w:val="hybridMultilevel"/>
    <w:tmpl w:val="861A2DF6"/>
    <w:lvl w:ilvl="0" w:tplc="FE662CB6">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3BD06DB1"/>
    <w:multiLevelType w:val="multilevel"/>
    <w:tmpl w:val="E5ACB844"/>
    <w:lvl w:ilvl="0">
      <w:start w:val="3"/>
      <w:numFmt w:val="bullet"/>
      <w:lvlText w:val="-"/>
      <w:lvlJc w:val="left"/>
      <w:pPr>
        <w:tabs>
          <w:tab w:val="num" w:pos="901"/>
        </w:tabs>
        <w:ind w:left="901" w:hanging="360"/>
      </w:pPr>
      <w:rPr>
        <w:rFonts w:ascii="Times New Roman" w:eastAsia="Times New Roman" w:hAnsi="Times New Roman" w:hint="default"/>
      </w:rPr>
    </w:lvl>
    <w:lvl w:ilvl="1">
      <w:start w:val="1"/>
      <w:numFmt w:val="bullet"/>
      <w:lvlText w:val="o"/>
      <w:lvlJc w:val="left"/>
      <w:pPr>
        <w:tabs>
          <w:tab w:val="num" w:pos="1621"/>
        </w:tabs>
        <w:ind w:left="1621" w:hanging="360"/>
      </w:pPr>
      <w:rPr>
        <w:rFonts w:ascii="Courier New" w:hAnsi="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23">
    <w:nsid w:val="3E0A4821"/>
    <w:multiLevelType w:val="multilevel"/>
    <w:tmpl w:val="AC88742A"/>
    <w:lvl w:ilvl="0">
      <w:start w:val="2"/>
      <w:numFmt w:val="decimal"/>
      <w:lvlText w:val="%1"/>
      <w:lvlJc w:val="left"/>
      <w:pPr>
        <w:tabs>
          <w:tab w:val="num" w:pos="360"/>
        </w:tabs>
        <w:ind w:left="360" w:hanging="360"/>
      </w:pPr>
      <w:rPr>
        <w:rFonts w:ascii="Arial Bold" w:hAnsi="Arial Bold" w:cs="Times New Roman" w:hint="default"/>
        <w:b/>
        <w:i w:val="0"/>
        <w:caps w:val="0"/>
        <w:strike w:val="0"/>
        <w:dstrike w:val="0"/>
        <w:outline w:val="0"/>
        <w:shadow w:val="0"/>
        <w:emboss w:val="0"/>
        <w:imprint w:val="0"/>
        <w:vanish w:val="0"/>
        <w:color w:val="auto"/>
        <w:spacing w:val="0"/>
        <w:w w:val="100"/>
        <w:kern w:val="19"/>
        <w:position w:val="0"/>
        <w:sz w:val="19"/>
        <w:u w:val="none"/>
        <w:vertAlign w:val="baseline"/>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7F7213E"/>
    <w:multiLevelType w:val="hybridMultilevel"/>
    <w:tmpl w:val="E71EE65A"/>
    <w:lvl w:ilvl="0" w:tplc="C928A976">
      <w:start w:val="1"/>
      <w:numFmt w:val="bullet"/>
      <w:lvlText w:val=""/>
      <w:lvlJc w:val="left"/>
      <w:pPr>
        <w:tabs>
          <w:tab w:val="num" w:pos="720"/>
        </w:tabs>
        <w:ind w:left="720" w:hanging="360"/>
      </w:pPr>
      <w:rPr>
        <w:rFonts w:ascii="Webdings" w:hAnsi="Webdings" w:hint="default"/>
      </w:rPr>
    </w:lvl>
    <w:lvl w:ilvl="1" w:tplc="C2CE01D4">
      <w:start w:val="1"/>
      <w:numFmt w:val="decimal"/>
      <w:lvlText w:val="%2."/>
      <w:lvlJc w:val="left"/>
      <w:pPr>
        <w:tabs>
          <w:tab w:val="num" w:pos="1440"/>
        </w:tabs>
        <w:ind w:left="1440" w:hanging="360"/>
      </w:pPr>
      <w:rPr>
        <w:rFonts w:cs="Times New Roman"/>
      </w:rPr>
    </w:lvl>
    <w:lvl w:ilvl="2" w:tplc="6636ACEE">
      <w:start w:val="1"/>
      <w:numFmt w:val="decimal"/>
      <w:lvlText w:val="%3."/>
      <w:lvlJc w:val="left"/>
      <w:pPr>
        <w:tabs>
          <w:tab w:val="num" w:pos="2160"/>
        </w:tabs>
        <w:ind w:left="2160" w:hanging="360"/>
      </w:pPr>
      <w:rPr>
        <w:rFonts w:cs="Times New Roman"/>
      </w:rPr>
    </w:lvl>
    <w:lvl w:ilvl="3" w:tplc="A69E92F8">
      <w:start w:val="1"/>
      <w:numFmt w:val="decimal"/>
      <w:lvlText w:val="%4."/>
      <w:lvlJc w:val="left"/>
      <w:pPr>
        <w:tabs>
          <w:tab w:val="num" w:pos="2880"/>
        </w:tabs>
        <w:ind w:left="2880" w:hanging="360"/>
      </w:pPr>
      <w:rPr>
        <w:rFonts w:cs="Times New Roman"/>
      </w:rPr>
    </w:lvl>
    <w:lvl w:ilvl="4" w:tplc="9BE66462">
      <w:start w:val="1"/>
      <w:numFmt w:val="decimal"/>
      <w:lvlText w:val="%5."/>
      <w:lvlJc w:val="left"/>
      <w:pPr>
        <w:tabs>
          <w:tab w:val="num" w:pos="3600"/>
        </w:tabs>
        <w:ind w:left="3600" w:hanging="360"/>
      </w:pPr>
      <w:rPr>
        <w:rFonts w:cs="Times New Roman"/>
      </w:rPr>
    </w:lvl>
    <w:lvl w:ilvl="5" w:tplc="8634F9F2">
      <w:start w:val="1"/>
      <w:numFmt w:val="decimal"/>
      <w:lvlText w:val="%6."/>
      <w:lvlJc w:val="left"/>
      <w:pPr>
        <w:tabs>
          <w:tab w:val="num" w:pos="4320"/>
        </w:tabs>
        <w:ind w:left="4320" w:hanging="360"/>
      </w:pPr>
      <w:rPr>
        <w:rFonts w:cs="Times New Roman"/>
      </w:rPr>
    </w:lvl>
    <w:lvl w:ilvl="6" w:tplc="4D6A6AFE">
      <w:start w:val="1"/>
      <w:numFmt w:val="decimal"/>
      <w:lvlText w:val="%7."/>
      <w:lvlJc w:val="left"/>
      <w:pPr>
        <w:tabs>
          <w:tab w:val="num" w:pos="5040"/>
        </w:tabs>
        <w:ind w:left="5040" w:hanging="360"/>
      </w:pPr>
      <w:rPr>
        <w:rFonts w:cs="Times New Roman"/>
      </w:rPr>
    </w:lvl>
    <w:lvl w:ilvl="7" w:tplc="33DA94FE">
      <w:start w:val="1"/>
      <w:numFmt w:val="decimal"/>
      <w:lvlText w:val="%8."/>
      <w:lvlJc w:val="left"/>
      <w:pPr>
        <w:tabs>
          <w:tab w:val="num" w:pos="5760"/>
        </w:tabs>
        <w:ind w:left="5760" w:hanging="360"/>
      </w:pPr>
      <w:rPr>
        <w:rFonts w:cs="Times New Roman"/>
      </w:rPr>
    </w:lvl>
    <w:lvl w:ilvl="8" w:tplc="67909CC4">
      <w:start w:val="1"/>
      <w:numFmt w:val="decimal"/>
      <w:lvlText w:val="%9."/>
      <w:lvlJc w:val="left"/>
      <w:pPr>
        <w:tabs>
          <w:tab w:val="num" w:pos="6480"/>
        </w:tabs>
        <w:ind w:left="6480" w:hanging="360"/>
      </w:pPr>
      <w:rPr>
        <w:rFonts w:cs="Times New Roman"/>
      </w:rPr>
    </w:lvl>
  </w:abstractNum>
  <w:abstractNum w:abstractNumId="25">
    <w:nsid w:val="499E0369"/>
    <w:multiLevelType w:val="hybridMultilevel"/>
    <w:tmpl w:val="25ACAC1C"/>
    <w:lvl w:ilvl="0" w:tplc="C80877CA">
      <w:start w:val="20"/>
      <w:numFmt w:val="bullet"/>
      <w:lvlText w:val="-"/>
      <w:lvlJc w:val="left"/>
      <w:pPr>
        <w:ind w:left="720" w:hanging="360"/>
      </w:pPr>
      <w:rPr>
        <w:rFonts w:ascii="Tele-GroteskEEHal" w:eastAsia="Times New Roman" w:hAnsi="Tele-GroteskEEH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4FB6"/>
    <w:multiLevelType w:val="hybridMultilevel"/>
    <w:tmpl w:val="4D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F842E1"/>
    <w:multiLevelType w:val="hybridMultilevel"/>
    <w:tmpl w:val="CA9EB430"/>
    <w:lvl w:ilvl="0" w:tplc="FE662CB6">
      <w:start w:val="1"/>
      <w:numFmt w:val="decimal"/>
      <w:lvlText w:val="%1."/>
      <w:lvlJc w:val="left"/>
      <w:pPr>
        <w:tabs>
          <w:tab w:val="num" w:pos="765"/>
        </w:tabs>
        <w:ind w:left="765" w:hanging="360"/>
      </w:pPr>
      <w:rPr>
        <w:rFonts w:cs="Times New Roman" w:hint="default"/>
      </w:rPr>
    </w:lvl>
    <w:lvl w:ilvl="1" w:tplc="041A0019" w:tentative="1">
      <w:start w:val="1"/>
      <w:numFmt w:val="lowerLetter"/>
      <w:lvlText w:val="%2."/>
      <w:lvlJc w:val="left"/>
      <w:pPr>
        <w:tabs>
          <w:tab w:val="num" w:pos="1485"/>
        </w:tabs>
        <w:ind w:left="1485" w:hanging="360"/>
      </w:pPr>
      <w:rPr>
        <w:rFonts w:cs="Times New Roman"/>
      </w:rPr>
    </w:lvl>
    <w:lvl w:ilvl="2" w:tplc="041A001B" w:tentative="1">
      <w:start w:val="1"/>
      <w:numFmt w:val="lowerRoman"/>
      <w:lvlText w:val="%3."/>
      <w:lvlJc w:val="right"/>
      <w:pPr>
        <w:tabs>
          <w:tab w:val="num" w:pos="2205"/>
        </w:tabs>
        <w:ind w:left="2205" w:hanging="180"/>
      </w:pPr>
      <w:rPr>
        <w:rFonts w:cs="Times New Roman"/>
      </w:rPr>
    </w:lvl>
    <w:lvl w:ilvl="3" w:tplc="041A000F" w:tentative="1">
      <w:start w:val="1"/>
      <w:numFmt w:val="decimal"/>
      <w:lvlText w:val="%4."/>
      <w:lvlJc w:val="left"/>
      <w:pPr>
        <w:tabs>
          <w:tab w:val="num" w:pos="2925"/>
        </w:tabs>
        <w:ind w:left="2925" w:hanging="360"/>
      </w:pPr>
      <w:rPr>
        <w:rFonts w:cs="Times New Roman"/>
      </w:rPr>
    </w:lvl>
    <w:lvl w:ilvl="4" w:tplc="041A0019" w:tentative="1">
      <w:start w:val="1"/>
      <w:numFmt w:val="lowerLetter"/>
      <w:lvlText w:val="%5."/>
      <w:lvlJc w:val="left"/>
      <w:pPr>
        <w:tabs>
          <w:tab w:val="num" w:pos="3645"/>
        </w:tabs>
        <w:ind w:left="3645" w:hanging="360"/>
      </w:pPr>
      <w:rPr>
        <w:rFonts w:cs="Times New Roman"/>
      </w:rPr>
    </w:lvl>
    <w:lvl w:ilvl="5" w:tplc="041A001B" w:tentative="1">
      <w:start w:val="1"/>
      <w:numFmt w:val="lowerRoman"/>
      <w:lvlText w:val="%6."/>
      <w:lvlJc w:val="right"/>
      <w:pPr>
        <w:tabs>
          <w:tab w:val="num" w:pos="4365"/>
        </w:tabs>
        <w:ind w:left="4365" w:hanging="180"/>
      </w:pPr>
      <w:rPr>
        <w:rFonts w:cs="Times New Roman"/>
      </w:rPr>
    </w:lvl>
    <w:lvl w:ilvl="6" w:tplc="041A000F" w:tentative="1">
      <w:start w:val="1"/>
      <w:numFmt w:val="decimal"/>
      <w:lvlText w:val="%7."/>
      <w:lvlJc w:val="left"/>
      <w:pPr>
        <w:tabs>
          <w:tab w:val="num" w:pos="5085"/>
        </w:tabs>
        <w:ind w:left="5085" w:hanging="360"/>
      </w:pPr>
      <w:rPr>
        <w:rFonts w:cs="Times New Roman"/>
      </w:rPr>
    </w:lvl>
    <w:lvl w:ilvl="7" w:tplc="041A0019" w:tentative="1">
      <w:start w:val="1"/>
      <w:numFmt w:val="lowerLetter"/>
      <w:lvlText w:val="%8."/>
      <w:lvlJc w:val="left"/>
      <w:pPr>
        <w:tabs>
          <w:tab w:val="num" w:pos="5805"/>
        </w:tabs>
        <w:ind w:left="5805" w:hanging="360"/>
      </w:pPr>
      <w:rPr>
        <w:rFonts w:cs="Times New Roman"/>
      </w:rPr>
    </w:lvl>
    <w:lvl w:ilvl="8" w:tplc="041A001B" w:tentative="1">
      <w:start w:val="1"/>
      <w:numFmt w:val="lowerRoman"/>
      <w:lvlText w:val="%9."/>
      <w:lvlJc w:val="right"/>
      <w:pPr>
        <w:tabs>
          <w:tab w:val="num" w:pos="6525"/>
        </w:tabs>
        <w:ind w:left="6525" w:hanging="180"/>
      </w:pPr>
      <w:rPr>
        <w:rFonts w:cs="Times New Roman"/>
      </w:rPr>
    </w:lvl>
  </w:abstractNum>
  <w:abstractNum w:abstractNumId="28">
    <w:nsid w:val="4C59375F"/>
    <w:multiLevelType w:val="hybridMultilevel"/>
    <w:tmpl w:val="40D821DC"/>
    <w:lvl w:ilvl="0" w:tplc="041A0017">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nsid w:val="5107313E"/>
    <w:multiLevelType w:val="hybridMultilevel"/>
    <w:tmpl w:val="CA1E9E8A"/>
    <w:lvl w:ilvl="0" w:tplc="FE662CB6">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0">
    <w:nsid w:val="56141668"/>
    <w:multiLevelType w:val="hybridMultilevel"/>
    <w:tmpl w:val="8084AEA2"/>
    <w:lvl w:ilvl="0" w:tplc="B3BCDCC8">
      <w:start w:val="1"/>
      <w:numFmt w:val="bullet"/>
      <w:lvlText w:val=""/>
      <w:lvlJc w:val="left"/>
      <w:pPr>
        <w:tabs>
          <w:tab w:val="num" w:pos="720"/>
        </w:tabs>
        <w:ind w:left="720" w:hanging="360"/>
      </w:pPr>
      <w:rPr>
        <w:rFonts w:ascii="Wingdings" w:hAnsi="Wingdings"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56541C6A"/>
    <w:multiLevelType w:val="hybridMultilevel"/>
    <w:tmpl w:val="A17CA406"/>
    <w:lvl w:ilvl="0" w:tplc="0D4424E2">
      <w:start w:val="1"/>
      <w:numFmt w:val="bullet"/>
      <w:lvlText w:val=""/>
      <w:lvlJc w:val="left"/>
      <w:pPr>
        <w:tabs>
          <w:tab w:val="num" w:pos="720"/>
        </w:tabs>
        <w:ind w:left="720" w:hanging="360"/>
      </w:pPr>
      <w:rPr>
        <w:rFonts w:ascii="Webdings" w:hAnsi="Webdings" w:hint="default"/>
      </w:rPr>
    </w:lvl>
    <w:lvl w:ilvl="1" w:tplc="547ED312" w:tentative="1">
      <w:start w:val="1"/>
      <w:numFmt w:val="bullet"/>
      <w:lvlText w:val=""/>
      <w:lvlJc w:val="left"/>
      <w:pPr>
        <w:tabs>
          <w:tab w:val="num" w:pos="1440"/>
        </w:tabs>
        <w:ind w:left="1440" w:hanging="360"/>
      </w:pPr>
      <w:rPr>
        <w:rFonts w:ascii="Webdings" w:hAnsi="Webdings" w:hint="default"/>
      </w:rPr>
    </w:lvl>
    <w:lvl w:ilvl="2" w:tplc="F5905E2C" w:tentative="1">
      <w:start w:val="1"/>
      <w:numFmt w:val="bullet"/>
      <w:lvlText w:val=""/>
      <w:lvlJc w:val="left"/>
      <w:pPr>
        <w:tabs>
          <w:tab w:val="num" w:pos="2160"/>
        </w:tabs>
        <w:ind w:left="2160" w:hanging="360"/>
      </w:pPr>
      <w:rPr>
        <w:rFonts w:ascii="Webdings" w:hAnsi="Webdings" w:hint="default"/>
      </w:rPr>
    </w:lvl>
    <w:lvl w:ilvl="3" w:tplc="5BC4EDDA" w:tentative="1">
      <w:start w:val="1"/>
      <w:numFmt w:val="bullet"/>
      <w:lvlText w:val=""/>
      <w:lvlJc w:val="left"/>
      <w:pPr>
        <w:tabs>
          <w:tab w:val="num" w:pos="2880"/>
        </w:tabs>
        <w:ind w:left="2880" w:hanging="360"/>
      </w:pPr>
      <w:rPr>
        <w:rFonts w:ascii="Webdings" w:hAnsi="Webdings" w:hint="default"/>
      </w:rPr>
    </w:lvl>
    <w:lvl w:ilvl="4" w:tplc="5C127C6A" w:tentative="1">
      <w:start w:val="1"/>
      <w:numFmt w:val="bullet"/>
      <w:lvlText w:val=""/>
      <w:lvlJc w:val="left"/>
      <w:pPr>
        <w:tabs>
          <w:tab w:val="num" w:pos="3600"/>
        </w:tabs>
        <w:ind w:left="3600" w:hanging="360"/>
      </w:pPr>
      <w:rPr>
        <w:rFonts w:ascii="Webdings" w:hAnsi="Webdings" w:hint="default"/>
      </w:rPr>
    </w:lvl>
    <w:lvl w:ilvl="5" w:tplc="557A96C2" w:tentative="1">
      <w:start w:val="1"/>
      <w:numFmt w:val="bullet"/>
      <w:lvlText w:val=""/>
      <w:lvlJc w:val="left"/>
      <w:pPr>
        <w:tabs>
          <w:tab w:val="num" w:pos="4320"/>
        </w:tabs>
        <w:ind w:left="4320" w:hanging="360"/>
      </w:pPr>
      <w:rPr>
        <w:rFonts w:ascii="Webdings" w:hAnsi="Webdings" w:hint="default"/>
      </w:rPr>
    </w:lvl>
    <w:lvl w:ilvl="6" w:tplc="1E3653AE" w:tentative="1">
      <w:start w:val="1"/>
      <w:numFmt w:val="bullet"/>
      <w:lvlText w:val=""/>
      <w:lvlJc w:val="left"/>
      <w:pPr>
        <w:tabs>
          <w:tab w:val="num" w:pos="5040"/>
        </w:tabs>
        <w:ind w:left="5040" w:hanging="360"/>
      </w:pPr>
      <w:rPr>
        <w:rFonts w:ascii="Webdings" w:hAnsi="Webdings" w:hint="default"/>
      </w:rPr>
    </w:lvl>
    <w:lvl w:ilvl="7" w:tplc="BF468CA6" w:tentative="1">
      <w:start w:val="1"/>
      <w:numFmt w:val="bullet"/>
      <w:lvlText w:val=""/>
      <w:lvlJc w:val="left"/>
      <w:pPr>
        <w:tabs>
          <w:tab w:val="num" w:pos="5760"/>
        </w:tabs>
        <w:ind w:left="5760" w:hanging="360"/>
      </w:pPr>
      <w:rPr>
        <w:rFonts w:ascii="Webdings" w:hAnsi="Webdings" w:hint="default"/>
      </w:rPr>
    </w:lvl>
    <w:lvl w:ilvl="8" w:tplc="27CE6D14" w:tentative="1">
      <w:start w:val="1"/>
      <w:numFmt w:val="bullet"/>
      <w:lvlText w:val=""/>
      <w:lvlJc w:val="left"/>
      <w:pPr>
        <w:tabs>
          <w:tab w:val="num" w:pos="6480"/>
        </w:tabs>
        <w:ind w:left="6480" w:hanging="360"/>
      </w:pPr>
      <w:rPr>
        <w:rFonts w:ascii="Webdings" w:hAnsi="Webdings" w:hint="default"/>
      </w:rPr>
    </w:lvl>
  </w:abstractNum>
  <w:abstractNum w:abstractNumId="32">
    <w:nsid w:val="62354985"/>
    <w:multiLevelType w:val="hybridMultilevel"/>
    <w:tmpl w:val="5122F204"/>
    <w:lvl w:ilvl="0" w:tplc="23CA6BC4">
      <w:start w:val="1"/>
      <w:numFmt w:val="bullet"/>
      <w:lvlText w:val=""/>
      <w:lvlJc w:val="left"/>
      <w:pPr>
        <w:tabs>
          <w:tab w:val="num" w:pos="720"/>
        </w:tabs>
        <w:ind w:left="720" w:hanging="360"/>
      </w:pPr>
      <w:rPr>
        <w:rFonts w:ascii="Webdings" w:hAnsi="Webdings" w:hint="default"/>
      </w:rPr>
    </w:lvl>
    <w:lvl w:ilvl="1" w:tplc="D3723D4E" w:tentative="1">
      <w:start w:val="1"/>
      <w:numFmt w:val="bullet"/>
      <w:lvlText w:val=""/>
      <w:lvlJc w:val="left"/>
      <w:pPr>
        <w:tabs>
          <w:tab w:val="num" w:pos="1440"/>
        </w:tabs>
        <w:ind w:left="1440" w:hanging="360"/>
      </w:pPr>
      <w:rPr>
        <w:rFonts w:ascii="Webdings" w:hAnsi="Webdings" w:hint="default"/>
      </w:rPr>
    </w:lvl>
    <w:lvl w:ilvl="2" w:tplc="534A9162" w:tentative="1">
      <w:start w:val="1"/>
      <w:numFmt w:val="bullet"/>
      <w:lvlText w:val=""/>
      <w:lvlJc w:val="left"/>
      <w:pPr>
        <w:tabs>
          <w:tab w:val="num" w:pos="2160"/>
        </w:tabs>
        <w:ind w:left="2160" w:hanging="360"/>
      </w:pPr>
      <w:rPr>
        <w:rFonts w:ascii="Webdings" w:hAnsi="Webdings" w:hint="default"/>
      </w:rPr>
    </w:lvl>
    <w:lvl w:ilvl="3" w:tplc="0A2823C0" w:tentative="1">
      <w:start w:val="1"/>
      <w:numFmt w:val="bullet"/>
      <w:lvlText w:val=""/>
      <w:lvlJc w:val="left"/>
      <w:pPr>
        <w:tabs>
          <w:tab w:val="num" w:pos="2880"/>
        </w:tabs>
        <w:ind w:left="2880" w:hanging="360"/>
      </w:pPr>
      <w:rPr>
        <w:rFonts w:ascii="Webdings" w:hAnsi="Webdings" w:hint="default"/>
      </w:rPr>
    </w:lvl>
    <w:lvl w:ilvl="4" w:tplc="023AB674" w:tentative="1">
      <w:start w:val="1"/>
      <w:numFmt w:val="bullet"/>
      <w:lvlText w:val=""/>
      <w:lvlJc w:val="left"/>
      <w:pPr>
        <w:tabs>
          <w:tab w:val="num" w:pos="3600"/>
        </w:tabs>
        <w:ind w:left="3600" w:hanging="360"/>
      </w:pPr>
      <w:rPr>
        <w:rFonts w:ascii="Webdings" w:hAnsi="Webdings" w:hint="default"/>
      </w:rPr>
    </w:lvl>
    <w:lvl w:ilvl="5" w:tplc="2162366E" w:tentative="1">
      <w:start w:val="1"/>
      <w:numFmt w:val="bullet"/>
      <w:lvlText w:val=""/>
      <w:lvlJc w:val="left"/>
      <w:pPr>
        <w:tabs>
          <w:tab w:val="num" w:pos="4320"/>
        </w:tabs>
        <w:ind w:left="4320" w:hanging="360"/>
      </w:pPr>
      <w:rPr>
        <w:rFonts w:ascii="Webdings" w:hAnsi="Webdings" w:hint="default"/>
      </w:rPr>
    </w:lvl>
    <w:lvl w:ilvl="6" w:tplc="7E0AD8B0" w:tentative="1">
      <w:start w:val="1"/>
      <w:numFmt w:val="bullet"/>
      <w:lvlText w:val=""/>
      <w:lvlJc w:val="left"/>
      <w:pPr>
        <w:tabs>
          <w:tab w:val="num" w:pos="5040"/>
        </w:tabs>
        <w:ind w:left="5040" w:hanging="360"/>
      </w:pPr>
      <w:rPr>
        <w:rFonts w:ascii="Webdings" w:hAnsi="Webdings" w:hint="default"/>
      </w:rPr>
    </w:lvl>
    <w:lvl w:ilvl="7" w:tplc="70F29328" w:tentative="1">
      <w:start w:val="1"/>
      <w:numFmt w:val="bullet"/>
      <w:lvlText w:val=""/>
      <w:lvlJc w:val="left"/>
      <w:pPr>
        <w:tabs>
          <w:tab w:val="num" w:pos="5760"/>
        </w:tabs>
        <w:ind w:left="5760" w:hanging="360"/>
      </w:pPr>
      <w:rPr>
        <w:rFonts w:ascii="Webdings" w:hAnsi="Webdings" w:hint="default"/>
      </w:rPr>
    </w:lvl>
    <w:lvl w:ilvl="8" w:tplc="F3A24576" w:tentative="1">
      <w:start w:val="1"/>
      <w:numFmt w:val="bullet"/>
      <w:lvlText w:val=""/>
      <w:lvlJc w:val="left"/>
      <w:pPr>
        <w:tabs>
          <w:tab w:val="num" w:pos="6480"/>
        </w:tabs>
        <w:ind w:left="6480" w:hanging="360"/>
      </w:pPr>
      <w:rPr>
        <w:rFonts w:ascii="Webdings" w:hAnsi="Webdings" w:hint="default"/>
      </w:rPr>
    </w:lvl>
  </w:abstractNum>
  <w:abstractNum w:abstractNumId="33">
    <w:nsid w:val="64D51DF8"/>
    <w:multiLevelType w:val="hybridMultilevel"/>
    <w:tmpl w:val="3B3AB282"/>
    <w:lvl w:ilvl="0" w:tplc="2D28A61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C3C0A48"/>
    <w:multiLevelType w:val="hybridMultilevel"/>
    <w:tmpl w:val="31584B04"/>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nsid w:val="738E6C1E"/>
    <w:multiLevelType w:val="hybridMultilevel"/>
    <w:tmpl w:val="CA36F3C0"/>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6">
    <w:nsid w:val="741B764C"/>
    <w:multiLevelType w:val="hybridMultilevel"/>
    <w:tmpl w:val="0C9033A8"/>
    <w:lvl w:ilvl="0" w:tplc="FE662CB6">
      <w:start w:val="1"/>
      <w:numFmt w:val="decimal"/>
      <w:lvlText w:val="%1."/>
      <w:lvlJc w:val="left"/>
      <w:pPr>
        <w:tabs>
          <w:tab w:val="num" w:pos="765"/>
        </w:tabs>
        <w:ind w:left="765" w:hanging="360"/>
      </w:pPr>
      <w:rPr>
        <w:rFonts w:cs="Times New Roman" w:hint="default"/>
      </w:rPr>
    </w:lvl>
    <w:lvl w:ilvl="1" w:tplc="041A0019" w:tentative="1">
      <w:start w:val="1"/>
      <w:numFmt w:val="lowerLetter"/>
      <w:lvlText w:val="%2."/>
      <w:lvlJc w:val="left"/>
      <w:pPr>
        <w:tabs>
          <w:tab w:val="num" w:pos="1485"/>
        </w:tabs>
        <w:ind w:left="1485" w:hanging="360"/>
      </w:pPr>
      <w:rPr>
        <w:rFonts w:cs="Times New Roman"/>
      </w:rPr>
    </w:lvl>
    <w:lvl w:ilvl="2" w:tplc="041A001B" w:tentative="1">
      <w:start w:val="1"/>
      <w:numFmt w:val="lowerRoman"/>
      <w:lvlText w:val="%3."/>
      <w:lvlJc w:val="right"/>
      <w:pPr>
        <w:tabs>
          <w:tab w:val="num" w:pos="2205"/>
        </w:tabs>
        <w:ind w:left="2205" w:hanging="180"/>
      </w:pPr>
      <w:rPr>
        <w:rFonts w:cs="Times New Roman"/>
      </w:rPr>
    </w:lvl>
    <w:lvl w:ilvl="3" w:tplc="041A000F" w:tentative="1">
      <w:start w:val="1"/>
      <w:numFmt w:val="decimal"/>
      <w:lvlText w:val="%4."/>
      <w:lvlJc w:val="left"/>
      <w:pPr>
        <w:tabs>
          <w:tab w:val="num" w:pos="2925"/>
        </w:tabs>
        <w:ind w:left="2925" w:hanging="360"/>
      </w:pPr>
      <w:rPr>
        <w:rFonts w:cs="Times New Roman"/>
      </w:rPr>
    </w:lvl>
    <w:lvl w:ilvl="4" w:tplc="041A0019" w:tentative="1">
      <w:start w:val="1"/>
      <w:numFmt w:val="lowerLetter"/>
      <w:lvlText w:val="%5."/>
      <w:lvlJc w:val="left"/>
      <w:pPr>
        <w:tabs>
          <w:tab w:val="num" w:pos="3645"/>
        </w:tabs>
        <w:ind w:left="3645" w:hanging="360"/>
      </w:pPr>
      <w:rPr>
        <w:rFonts w:cs="Times New Roman"/>
      </w:rPr>
    </w:lvl>
    <w:lvl w:ilvl="5" w:tplc="041A001B" w:tentative="1">
      <w:start w:val="1"/>
      <w:numFmt w:val="lowerRoman"/>
      <w:lvlText w:val="%6."/>
      <w:lvlJc w:val="right"/>
      <w:pPr>
        <w:tabs>
          <w:tab w:val="num" w:pos="4365"/>
        </w:tabs>
        <w:ind w:left="4365" w:hanging="180"/>
      </w:pPr>
      <w:rPr>
        <w:rFonts w:cs="Times New Roman"/>
      </w:rPr>
    </w:lvl>
    <w:lvl w:ilvl="6" w:tplc="041A000F" w:tentative="1">
      <w:start w:val="1"/>
      <w:numFmt w:val="decimal"/>
      <w:lvlText w:val="%7."/>
      <w:lvlJc w:val="left"/>
      <w:pPr>
        <w:tabs>
          <w:tab w:val="num" w:pos="5085"/>
        </w:tabs>
        <w:ind w:left="5085" w:hanging="360"/>
      </w:pPr>
      <w:rPr>
        <w:rFonts w:cs="Times New Roman"/>
      </w:rPr>
    </w:lvl>
    <w:lvl w:ilvl="7" w:tplc="041A0019" w:tentative="1">
      <w:start w:val="1"/>
      <w:numFmt w:val="lowerLetter"/>
      <w:lvlText w:val="%8."/>
      <w:lvlJc w:val="left"/>
      <w:pPr>
        <w:tabs>
          <w:tab w:val="num" w:pos="5805"/>
        </w:tabs>
        <w:ind w:left="5805" w:hanging="360"/>
      </w:pPr>
      <w:rPr>
        <w:rFonts w:cs="Times New Roman"/>
      </w:rPr>
    </w:lvl>
    <w:lvl w:ilvl="8" w:tplc="041A001B" w:tentative="1">
      <w:start w:val="1"/>
      <w:numFmt w:val="lowerRoman"/>
      <w:lvlText w:val="%9."/>
      <w:lvlJc w:val="right"/>
      <w:pPr>
        <w:tabs>
          <w:tab w:val="num" w:pos="6525"/>
        </w:tabs>
        <w:ind w:left="6525" w:hanging="180"/>
      </w:pPr>
      <w:rPr>
        <w:rFonts w:cs="Times New Roman"/>
      </w:rPr>
    </w:lvl>
  </w:abstractNum>
  <w:abstractNum w:abstractNumId="37">
    <w:nsid w:val="75CE4179"/>
    <w:multiLevelType w:val="hybridMultilevel"/>
    <w:tmpl w:val="EB5E3976"/>
    <w:lvl w:ilvl="0" w:tplc="C80877CA">
      <w:start w:val="20"/>
      <w:numFmt w:val="bullet"/>
      <w:lvlText w:val="-"/>
      <w:lvlJc w:val="left"/>
      <w:pPr>
        <w:tabs>
          <w:tab w:val="num" w:pos="720"/>
        </w:tabs>
        <w:ind w:left="720" w:hanging="360"/>
      </w:pPr>
      <w:rPr>
        <w:rFonts w:ascii="Tele-GroteskEEHal" w:eastAsia="Times New Roman" w:hAnsi="Tele-GroteskEEH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F744D18"/>
    <w:multiLevelType w:val="hybridMultilevel"/>
    <w:tmpl w:val="9F9007E2"/>
    <w:lvl w:ilvl="0" w:tplc="B3BCDCC8">
      <w:start w:val="1"/>
      <w:numFmt w:val="bullet"/>
      <w:lvlText w:val=""/>
      <w:lvlJc w:val="left"/>
      <w:pPr>
        <w:tabs>
          <w:tab w:val="num" w:pos="720"/>
        </w:tabs>
        <w:ind w:left="720" w:hanging="360"/>
      </w:pPr>
      <w:rPr>
        <w:rFonts w:ascii="Wingdings" w:hAnsi="Wingdings"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FBC36AE"/>
    <w:multiLevelType w:val="hybridMultilevel"/>
    <w:tmpl w:val="A34AE5A2"/>
    <w:lvl w:ilvl="0" w:tplc="0F2E93C6">
      <w:numFmt w:val="bullet"/>
      <w:lvlText w:val="-"/>
      <w:lvlJc w:val="left"/>
      <w:pPr>
        <w:tabs>
          <w:tab w:val="num" w:pos="720"/>
        </w:tabs>
        <w:ind w:left="720" w:hanging="360"/>
      </w:pPr>
      <w:rPr>
        <w:rFonts w:ascii="Tele-GroteskEEHal" w:eastAsia="Times New Roman" w:hAnsi="Tele-GroteskEEH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
  </w:num>
  <w:num w:numId="6">
    <w:abstractNumId w:val="2"/>
  </w:num>
  <w:num w:numId="7">
    <w:abstractNumId w:val="34"/>
  </w:num>
  <w:num w:numId="8">
    <w:abstractNumId w:val="17"/>
  </w:num>
  <w:num w:numId="9">
    <w:abstractNumId w:val="26"/>
  </w:num>
  <w:num w:numId="10">
    <w:abstractNumId w:val="18"/>
  </w:num>
  <w:num w:numId="11">
    <w:abstractNumId w:val="6"/>
  </w:num>
  <w:num w:numId="12">
    <w:abstractNumId w:val="1"/>
  </w:num>
  <w:num w:numId="13">
    <w:abstractNumId w:val="4"/>
  </w:num>
  <w:num w:numId="14">
    <w:abstractNumId w:val="27"/>
  </w:num>
  <w:num w:numId="15">
    <w:abstractNumId w:val="36"/>
  </w:num>
  <w:num w:numId="16">
    <w:abstractNumId w:val="12"/>
  </w:num>
  <w:num w:numId="17">
    <w:abstractNumId w:val="0"/>
  </w:num>
  <w:num w:numId="18">
    <w:abstractNumId w:val="13"/>
  </w:num>
  <w:num w:numId="19">
    <w:abstractNumId w:val="22"/>
  </w:num>
  <w:num w:numId="20">
    <w:abstractNumId w:val="5"/>
  </w:num>
  <w:num w:numId="21">
    <w:abstractNumId w:val="37"/>
  </w:num>
  <w:num w:numId="22">
    <w:abstractNumId w:val="28"/>
  </w:num>
  <w:num w:numId="23">
    <w:abstractNumId w:val="10"/>
  </w:num>
  <w:num w:numId="24">
    <w:abstractNumId w:val="30"/>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3"/>
  </w:num>
  <w:num w:numId="28">
    <w:abstractNumId w:val="39"/>
  </w:num>
  <w:num w:numId="29">
    <w:abstractNumId w:val="21"/>
  </w:num>
  <w:num w:numId="30">
    <w:abstractNumId w:val="7"/>
  </w:num>
  <w:num w:numId="31">
    <w:abstractNumId w:val="29"/>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5"/>
  </w:num>
  <w:num w:numId="35">
    <w:abstractNumId w:val="32"/>
  </w:num>
  <w:num w:numId="36">
    <w:abstractNumId w:val="14"/>
  </w:num>
  <w:num w:numId="37">
    <w:abstractNumId w:val="8"/>
  </w:num>
  <w:num w:numId="38">
    <w:abstractNumId w:val="31"/>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1"/>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F72"/>
    <w:rsid w:val="0000013A"/>
    <w:rsid w:val="00000981"/>
    <w:rsid w:val="00000D24"/>
    <w:rsid w:val="00001739"/>
    <w:rsid w:val="0000177B"/>
    <w:rsid w:val="00001798"/>
    <w:rsid w:val="000017F9"/>
    <w:rsid w:val="000019E4"/>
    <w:rsid w:val="00001DE6"/>
    <w:rsid w:val="00002219"/>
    <w:rsid w:val="000023B1"/>
    <w:rsid w:val="000027EE"/>
    <w:rsid w:val="00003E0B"/>
    <w:rsid w:val="00003FB8"/>
    <w:rsid w:val="0000503A"/>
    <w:rsid w:val="00005856"/>
    <w:rsid w:val="00005B70"/>
    <w:rsid w:val="00005BCB"/>
    <w:rsid w:val="000061AA"/>
    <w:rsid w:val="00006EC7"/>
    <w:rsid w:val="00007490"/>
    <w:rsid w:val="000075DD"/>
    <w:rsid w:val="00007849"/>
    <w:rsid w:val="00007B82"/>
    <w:rsid w:val="00007D1C"/>
    <w:rsid w:val="00007D3C"/>
    <w:rsid w:val="000112A8"/>
    <w:rsid w:val="00011EB7"/>
    <w:rsid w:val="00011FD0"/>
    <w:rsid w:val="0001244E"/>
    <w:rsid w:val="00012F1A"/>
    <w:rsid w:val="000139EC"/>
    <w:rsid w:val="00013E76"/>
    <w:rsid w:val="00014121"/>
    <w:rsid w:val="00014ED6"/>
    <w:rsid w:val="000150A3"/>
    <w:rsid w:val="0001615B"/>
    <w:rsid w:val="0001629D"/>
    <w:rsid w:val="00016A93"/>
    <w:rsid w:val="00016E46"/>
    <w:rsid w:val="0001702F"/>
    <w:rsid w:val="00017BEA"/>
    <w:rsid w:val="00017C98"/>
    <w:rsid w:val="00017FA9"/>
    <w:rsid w:val="00021400"/>
    <w:rsid w:val="00021BA1"/>
    <w:rsid w:val="00021F26"/>
    <w:rsid w:val="0002287F"/>
    <w:rsid w:val="000228AE"/>
    <w:rsid w:val="00022E74"/>
    <w:rsid w:val="0002343E"/>
    <w:rsid w:val="00023764"/>
    <w:rsid w:val="00023D6A"/>
    <w:rsid w:val="00023D96"/>
    <w:rsid w:val="00024690"/>
    <w:rsid w:val="00024B9F"/>
    <w:rsid w:val="00025332"/>
    <w:rsid w:val="0002551B"/>
    <w:rsid w:val="000255B7"/>
    <w:rsid w:val="00025B7B"/>
    <w:rsid w:val="000261B7"/>
    <w:rsid w:val="0002644D"/>
    <w:rsid w:val="00026C1C"/>
    <w:rsid w:val="0002715C"/>
    <w:rsid w:val="000272BC"/>
    <w:rsid w:val="000275CF"/>
    <w:rsid w:val="00027729"/>
    <w:rsid w:val="0002788E"/>
    <w:rsid w:val="000278F4"/>
    <w:rsid w:val="00027DD0"/>
    <w:rsid w:val="0003080E"/>
    <w:rsid w:val="00030B33"/>
    <w:rsid w:val="00030FFC"/>
    <w:rsid w:val="00031335"/>
    <w:rsid w:val="00031B50"/>
    <w:rsid w:val="00032386"/>
    <w:rsid w:val="0003254D"/>
    <w:rsid w:val="00032846"/>
    <w:rsid w:val="00032AC9"/>
    <w:rsid w:val="00032F57"/>
    <w:rsid w:val="000335EB"/>
    <w:rsid w:val="0003384B"/>
    <w:rsid w:val="000341DF"/>
    <w:rsid w:val="00034496"/>
    <w:rsid w:val="00034998"/>
    <w:rsid w:val="0003499E"/>
    <w:rsid w:val="00034D08"/>
    <w:rsid w:val="000358DB"/>
    <w:rsid w:val="00035AD7"/>
    <w:rsid w:val="00036921"/>
    <w:rsid w:val="00036F9C"/>
    <w:rsid w:val="00037266"/>
    <w:rsid w:val="00037637"/>
    <w:rsid w:val="000376AB"/>
    <w:rsid w:val="00037A7A"/>
    <w:rsid w:val="00037C50"/>
    <w:rsid w:val="00037EF2"/>
    <w:rsid w:val="000400E7"/>
    <w:rsid w:val="000401AE"/>
    <w:rsid w:val="0004040C"/>
    <w:rsid w:val="00040758"/>
    <w:rsid w:val="00040D9A"/>
    <w:rsid w:val="00041747"/>
    <w:rsid w:val="00041810"/>
    <w:rsid w:val="00041B24"/>
    <w:rsid w:val="00042236"/>
    <w:rsid w:val="000430C0"/>
    <w:rsid w:val="0004334A"/>
    <w:rsid w:val="000437B3"/>
    <w:rsid w:val="00043857"/>
    <w:rsid w:val="00043F55"/>
    <w:rsid w:val="00044D93"/>
    <w:rsid w:val="000467C7"/>
    <w:rsid w:val="00046ADB"/>
    <w:rsid w:val="00046FA7"/>
    <w:rsid w:val="000477B6"/>
    <w:rsid w:val="000477DE"/>
    <w:rsid w:val="000478A0"/>
    <w:rsid w:val="00047EA1"/>
    <w:rsid w:val="0005000E"/>
    <w:rsid w:val="00050E5E"/>
    <w:rsid w:val="0005108C"/>
    <w:rsid w:val="000514B8"/>
    <w:rsid w:val="0005181A"/>
    <w:rsid w:val="00051FAF"/>
    <w:rsid w:val="00052933"/>
    <w:rsid w:val="00052C83"/>
    <w:rsid w:val="00052ECB"/>
    <w:rsid w:val="000535E0"/>
    <w:rsid w:val="0005379D"/>
    <w:rsid w:val="00053A76"/>
    <w:rsid w:val="000541EB"/>
    <w:rsid w:val="0005445A"/>
    <w:rsid w:val="0005453B"/>
    <w:rsid w:val="00054856"/>
    <w:rsid w:val="00054965"/>
    <w:rsid w:val="00054D15"/>
    <w:rsid w:val="00054E65"/>
    <w:rsid w:val="0005515E"/>
    <w:rsid w:val="00055A25"/>
    <w:rsid w:val="00056682"/>
    <w:rsid w:val="000574B6"/>
    <w:rsid w:val="0005776D"/>
    <w:rsid w:val="000577AD"/>
    <w:rsid w:val="000578BB"/>
    <w:rsid w:val="00057A49"/>
    <w:rsid w:val="00057BCE"/>
    <w:rsid w:val="0006010B"/>
    <w:rsid w:val="00060DB7"/>
    <w:rsid w:val="0006115D"/>
    <w:rsid w:val="00061423"/>
    <w:rsid w:val="000614B3"/>
    <w:rsid w:val="000616CA"/>
    <w:rsid w:val="00061EAA"/>
    <w:rsid w:val="00061F2E"/>
    <w:rsid w:val="0006281D"/>
    <w:rsid w:val="00062FAA"/>
    <w:rsid w:val="00062FAC"/>
    <w:rsid w:val="000631EE"/>
    <w:rsid w:val="00063876"/>
    <w:rsid w:val="000638ED"/>
    <w:rsid w:val="00063D3A"/>
    <w:rsid w:val="00064814"/>
    <w:rsid w:val="000648D5"/>
    <w:rsid w:val="00064A96"/>
    <w:rsid w:val="00064AF0"/>
    <w:rsid w:val="00065012"/>
    <w:rsid w:val="00065029"/>
    <w:rsid w:val="000650B9"/>
    <w:rsid w:val="0006585C"/>
    <w:rsid w:val="000667FB"/>
    <w:rsid w:val="00066F14"/>
    <w:rsid w:val="000671C9"/>
    <w:rsid w:val="000673B4"/>
    <w:rsid w:val="00067586"/>
    <w:rsid w:val="00067ACA"/>
    <w:rsid w:val="000700C6"/>
    <w:rsid w:val="0007039A"/>
    <w:rsid w:val="00071800"/>
    <w:rsid w:val="00071F12"/>
    <w:rsid w:val="00072997"/>
    <w:rsid w:val="00072D02"/>
    <w:rsid w:val="000737FA"/>
    <w:rsid w:val="000742C1"/>
    <w:rsid w:val="00074D51"/>
    <w:rsid w:val="00074E6A"/>
    <w:rsid w:val="000753D6"/>
    <w:rsid w:val="000756B8"/>
    <w:rsid w:val="000758D7"/>
    <w:rsid w:val="00075DAB"/>
    <w:rsid w:val="00076259"/>
    <w:rsid w:val="00076877"/>
    <w:rsid w:val="00076B10"/>
    <w:rsid w:val="00076C5E"/>
    <w:rsid w:val="00076F31"/>
    <w:rsid w:val="000771E2"/>
    <w:rsid w:val="00080FAF"/>
    <w:rsid w:val="0008110A"/>
    <w:rsid w:val="00081D14"/>
    <w:rsid w:val="0008267E"/>
    <w:rsid w:val="0008289B"/>
    <w:rsid w:val="00082CF0"/>
    <w:rsid w:val="00083C74"/>
    <w:rsid w:val="000840F0"/>
    <w:rsid w:val="0008412C"/>
    <w:rsid w:val="0008418B"/>
    <w:rsid w:val="00084371"/>
    <w:rsid w:val="00084AA6"/>
    <w:rsid w:val="00084C54"/>
    <w:rsid w:val="00085823"/>
    <w:rsid w:val="000859D7"/>
    <w:rsid w:val="00085A89"/>
    <w:rsid w:val="00085CB3"/>
    <w:rsid w:val="0008693B"/>
    <w:rsid w:val="00086F9E"/>
    <w:rsid w:val="00086FE4"/>
    <w:rsid w:val="00087360"/>
    <w:rsid w:val="00090152"/>
    <w:rsid w:val="00090533"/>
    <w:rsid w:val="0009073D"/>
    <w:rsid w:val="0009127A"/>
    <w:rsid w:val="000919E8"/>
    <w:rsid w:val="00092498"/>
    <w:rsid w:val="000928C5"/>
    <w:rsid w:val="000928F8"/>
    <w:rsid w:val="00092A25"/>
    <w:rsid w:val="00092AEF"/>
    <w:rsid w:val="00093394"/>
    <w:rsid w:val="00093A83"/>
    <w:rsid w:val="00093AFB"/>
    <w:rsid w:val="00093CFE"/>
    <w:rsid w:val="00093EA4"/>
    <w:rsid w:val="00093F92"/>
    <w:rsid w:val="00094009"/>
    <w:rsid w:val="0009403F"/>
    <w:rsid w:val="000942E3"/>
    <w:rsid w:val="000946E1"/>
    <w:rsid w:val="000949AC"/>
    <w:rsid w:val="000953B1"/>
    <w:rsid w:val="00095481"/>
    <w:rsid w:val="000955B2"/>
    <w:rsid w:val="0009574D"/>
    <w:rsid w:val="000962AA"/>
    <w:rsid w:val="000968DC"/>
    <w:rsid w:val="00096B72"/>
    <w:rsid w:val="0009713C"/>
    <w:rsid w:val="00097AA0"/>
    <w:rsid w:val="00097DB9"/>
    <w:rsid w:val="00097E25"/>
    <w:rsid w:val="00097F45"/>
    <w:rsid w:val="000A03C6"/>
    <w:rsid w:val="000A04A7"/>
    <w:rsid w:val="000A1779"/>
    <w:rsid w:val="000A229B"/>
    <w:rsid w:val="000A25AC"/>
    <w:rsid w:val="000A2923"/>
    <w:rsid w:val="000A325F"/>
    <w:rsid w:val="000A3717"/>
    <w:rsid w:val="000A3D5F"/>
    <w:rsid w:val="000A40B5"/>
    <w:rsid w:val="000A43A3"/>
    <w:rsid w:val="000A4A6C"/>
    <w:rsid w:val="000A5509"/>
    <w:rsid w:val="000A5555"/>
    <w:rsid w:val="000A6277"/>
    <w:rsid w:val="000A6F0B"/>
    <w:rsid w:val="000A6FC5"/>
    <w:rsid w:val="000A7756"/>
    <w:rsid w:val="000B1358"/>
    <w:rsid w:val="000B227B"/>
    <w:rsid w:val="000B2839"/>
    <w:rsid w:val="000B29BB"/>
    <w:rsid w:val="000B29C2"/>
    <w:rsid w:val="000B2C36"/>
    <w:rsid w:val="000B322F"/>
    <w:rsid w:val="000B32AA"/>
    <w:rsid w:val="000B32B6"/>
    <w:rsid w:val="000B341D"/>
    <w:rsid w:val="000B3902"/>
    <w:rsid w:val="000B4293"/>
    <w:rsid w:val="000B5958"/>
    <w:rsid w:val="000B6165"/>
    <w:rsid w:val="000B65F2"/>
    <w:rsid w:val="000B6922"/>
    <w:rsid w:val="000B697D"/>
    <w:rsid w:val="000B69CD"/>
    <w:rsid w:val="000B6CAD"/>
    <w:rsid w:val="000B7424"/>
    <w:rsid w:val="000C002F"/>
    <w:rsid w:val="000C0284"/>
    <w:rsid w:val="000C04B7"/>
    <w:rsid w:val="000C04D0"/>
    <w:rsid w:val="000C1187"/>
    <w:rsid w:val="000C1AD4"/>
    <w:rsid w:val="000C1F46"/>
    <w:rsid w:val="000C1FC1"/>
    <w:rsid w:val="000C2486"/>
    <w:rsid w:val="000C2BB5"/>
    <w:rsid w:val="000C3B68"/>
    <w:rsid w:val="000C42D2"/>
    <w:rsid w:val="000C53F6"/>
    <w:rsid w:val="000C56EF"/>
    <w:rsid w:val="000C594B"/>
    <w:rsid w:val="000C6BF8"/>
    <w:rsid w:val="000C6DF4"/>
    <w:rsid w:val="000C77A8"/>
    <w:rsid w:val="000C77D4"/>
    <w:rsid w:val="000D025E"/>
    <w:rsid w:val="000D027C"/>
    <w:rsid w:val="000D0419"/>
    <w:rsid w:val="000D0EF3"/>
    <w:rsid w:val="000D17BB"/>
    <w:rsid w:val="000D1AFE"/>
    <w:rsid w:val="000D212E"/>
    <w:rsid w:val="000D2394"/>
    <w:rsid w:val="000D268D"/>
    <w:rsid w:val="000D3C86"/>
    <w:rsid w:val="000D4AAD"/>
    <w:rsid w:val="000D4D6F"/>
    <w:rsid w:val="000D658B"/>
    <w:rsid w:val="000D6D52"/>
    <w:rsid w:val="000E06B3"/>
    <w:rsid w:val="000E1A71"/>
    <w:rsid w:val="000E1B03"/>
    <w:rsid w:val="000E1C20"/>
    <w:rsid w:val="000E2054"/>
    <w:rsid w:val="000E2D9B"/>
    <w:rsid w:val="000E2F06"/>
    <w:rsid w:val="000E3061"/>
    <w:rsid w:val="000E4142"/>
    <w:rsid w:val="000E49A5"/>
    <w:rsid w:val="000E4BBB"/>
    <w:rsid w:val="000E52B5"/>
    <w:rsid w:val="000E5344"/>
    <w:rsid w:val="000E5622"/>
    <w:rsid w:val="000E6040"/>
    <w:rsid w:val="000E660F"/>
    <w:rsid w:val="000E7242"/>
    <w:rsid w:val="000E779F"/>
    <w:rsid w:val="000E7B4E"/>
    <w:rsid w:val="000F078A"/>
    <w:rsid w:val="000F0D22"/>
    <w:rsid w:val="000F206A"/>
    <w:rsid w:val="000F23C1"/>
    <w:rsid w:val="000F2578"/>
    <w:rsid w:val="000F29A9"/>
    <w:rsid w:val="000F33CD"/>
    <w:rsid w:val="000F5DF4"/>
    <w:rsid w:val="000F64CA"/>
    <w:rsid w:val="000F6869"/>
    <w:rsid w:val="000F6E4E"/>
    <w:rsid w:val="000F731F"/>
    <w:rsid w:val="000F7A22"/>
    <w:rsid w:val="001000DB"/>
    <w:rsid w:val="0010060D"/>
    <w:rsid w:val="00100D2E"/>
    <w:rsid w:val="001010FF"/>
    <w:rsid w:val="00101943"/>
    <w:rsid w:val="0010194F"/>
    <w:rsid w:val="001020C7"/>
    <w:rsid w:val="00102890"/>
    <w:rsid w:val="001029B4"/>
    <w:rsid w:val="00102A11"/>
    <w:rsid w:val="00103353"/>
    <w:rsid w:val="0010365D"/>
    <w:rsid w:val="00103AC0"/>
    <w:rsid w:val="00103C75"/>
    <w:rsid w:val="001044BB"/>
    <w:rsid w:val="00105265"/>
    <w:rsid w:val="0010528D"/>
    <w:rsid w:val="00105725"/>
    <w:rsid w:val="0010666B"/>
    <w:rsid w:val="00106C19"/>
    <w:rsid w:val="001103EB"/>
    <w:rsid w:val="00110601"/>
    <w:rsid w:val="001112DA"/>
    <w:rsid w:val="00111C93"/>
    <w:rsid w:val="00111F0C"/>
    <w:rsid w:val="00111F7E"/>
    <w:rsid w:val="0011235D"/>
    <w:rsid w:val="0011258A"/>
    <w:rsid w:val="00112AC2"/>
    <w:rsid w:val="0011449C"/>
    <w:rsid w:val="00114B62"/>
    <w:rsid w:val="00114BF4"/>
    <w:rsid w:val="00114C25"/>
    <w:rsid w:val="00114F9D"/>
    <w:rsid w:val="00115A84"/>
    <w:rsid w:val="00115F13"/>
    <w:rsid w:val="00116C57"/>
    <w:rsid w:val="00116CDA"/>
    <w:rsid w:val="00117212"/>
    <w:rsid w:val="001172CA"/>
    <w:rsid w:val="001173A5"/>
    <w:rsid w:val="00117410"/>
    <w:rsid w:val="00117692"/>
    <w:rsid w:val="00117F0A"/>
    <w:rsid w:val="00120341"/>
    <w:rsid w:val="00120503"/>
    <w:rsid w:val="00120EE5"/>
    <w:rsid w:val="00121230"/>
    <w:rsid w:val="001213AA"/>
    <w:rsid w:val="001216BA"/>
    <w:rsid w:val="00122425"/>
    <w:rsid w:val="00122F62"/>
    <w:rsid w:val="00123491"/>
    <w:rsid w:val="001234F2"/>
    <w:rsid w:val="00123733"/>
    <w:rsid w:val="001237D5"/>
    <w:rsid w:val="001240C5"/>
    <w:rsid w:val="00124111"/>
    <w:rsid w:val="001245AC"/>
    <w:rsid w:val="00124A93"/>
    <w:rsid w:val="00124B0E"/>
    <w:rsid w:val="00124C7F"/>
    <w:rsid w:val="00124D58"/>
    <w:rsid w:val="0012520A"/>
    <w:rsid w:val="001255E1"/>
    <w:rsid w:val="001259B6"/>
    <w:rsid w:val="0012709D"/>
    <w:rsid w:val="00127AE0"/>
    <w:rsid w:val="00127BDB"/>
    <w:rsid w:val="001307A2"/>
    <w:rsid w:val="00130A10"/>
    <w:rsid w:val="001316AB"/>
    <w:rsid w:val="00131FE2"/>
    <w:rsid w:val="00132266"/>
    <w:rsid w:val="001325DC"/>
    <w:rsid w:val="0013279A"/>
    <w:rsid w:val="0013359A"/>
    <w:rsid w:val="0013388D"/>
    <w:rsid w:val="00133D5F"/>
    <w:rsid w:val="0013485C"/>
    <w:rsid w:val="00134AB0"/>
    <w:rsid w:val="00134D2E"/>
    <w:rsid w:val="00134F47"/>
    <w:rsid w:val="00135889"/>
    <w:rsid w:val="00135C71"/>
    <w:rsid w:val="0013668E"/>
    <w:rsid w:val="00136CF1"/>
    <w:rsid w:val="00136ECC"/>
    <w:rsid w:val="0013744D"/>
    <w:rsid w:val="00137BF6"/>
    <w:rsid w:val="0014031C"/>
    <w:rsid w:val="00140391"/>
    <w:rsid w:val="00140531"/>
    <w:rsid w:val="00140FB3"/>
    <w:rsid w:val="001410E9"/>
    <w:rsid w:val="00141712"/>
    <w:rsid w:val="00141A8A"/>
    <w:rsid w:val="00141CF9"/>
    <w:rsid w:val="001421B3"/>
    <w:rsid w:val="00142822"/>
    <w:rsid w:val="00142FE7"/>
    <w:rsid w:val="00143001"/>
    <w:rsid w:val="00143109"/>
    <w:rsid w:val="001434CD"/>
    <w:rsid w:val="0014353A"/>
    <w:rsid w:val="001436EE"/>
    <w:rsid w:val="00143A95"/>
    <w:rsid w:val="00143EDC"/>
    <w:rsid w:val="00144B3C"/>
    <w:rsid w:val="00144E1B"/>
    <w:rsid w:val="001450DF"/>
    <w:rsid w:val="0014563B"/>
    <w:rsid w:val="001462CE"/>
    <w:rsid w:val="00147212"/>
    <w:rsid w:val="0014773B"/>
    <w:rsid w:val="00147934"/>
    <w:rsid w:val="00150201"/>
    <w:rsid w:val="001504AF"/>
    <w:rsid w:val="00150AC4"/>
    <w:rsid w:val="0015108F"/>
    <w:rsid w:val="00151C61"/>
    <w:rsid w:val="0015295D"/>
    <w:rsid w:val="00153183"/>
    <w:rsid w:val="00153DBE"/>
    <w:rsid w:val="0015408F"/>
    <w:rsid w:val="00154529"/>
    <w:rsid w:val="001556CC"/>
    <w:rsid w:val="0015597E"/>
    <w:rsid w:val="00155F5D"/>
    <w:rsid w:val="00156402"/>
    <w:rsid w:val="0015643F"/>
    <w:rsid w:val="00156994"/>
    <w:rsid w:val="00156D9B"/>
    <w:rsid w:val="001570A4"/>
    <w:rsid w:val="001570C3"/>
    <w:rsid w:val="00157B0C"/>
    <w:rsid w:val="00160C5C"/>
    <w:rsid w:val="00161145"/>
    <w:rsid w:val="00161977"/>
    <w:rsid w:val="001619FD"/>
    <w:rsid w:val="00161E7E"/>
    <w:rsid w:val="00161F67"/>
    <w:rsid w:val="001624EB"/>
    <w:rsid w:val="00164115"/>
    <w:rsid w:val="00164173"/>
    <w:rsid w:val="001641DE"/>
    <w:rsid w:val="00164560"/>
    <w:rsid w:val="001649B0"/>
    <w:rsid w:val="00164A48"/>
    <w:rsid w:val="00164B1B"/>
    <w:rsid w:val="00166093"/>
    <w:rsid w:val="0016694D"/>
    <w:rsid w:val="0016758D"/>
    <w:rsid w:val="00167B46"/>
    <w:rsid w:val="00167D86"/>
    <w:rsid w:val="00170021"/>
    <w:rsid w:val="00170B82"/>
    <w:rsid w:val="00170F0C"/>
    <w:rsid w:val="0017116E"/>
    <w:rsid w:val="00171570"/>
    <w:rsid w:val="00172C81"/>
    <w:rsid w:val="001736A8"/>
    <w:rsid w:val="001740F9"/>
    <w:rsid w:val="00174E06"/>
    <w:rsid w:val="0017572C"/>
    <w:rsid w:val="00175942"/>
    <w:rsid w:val="001766A6"/>
    <w:rsid w:val="00176B3F"/>
    <w:rsid w:val="001772C8"/>
    <w:rsid w:val="00180392"/>
    <w:rsid w:val="001810C5"/>
    <w:rsid w:val="001810DF"/>
    <w:rsid w:val="001814F0"/>
    <w:rsid w:val="00181953"/>
    <w:rsid w:val="00181F41"/>
    <w:rsid w:val="00181FF9"/>
    <w:rsid w:val="00182027"/>
    <w:rsid w:val="00182048"/>
    <w:rsid w:val="0018222C"/>
    <w:rsid w:val="00182436"/>
    <w:rsid w:val="00182594"/>
    <w:rsid w:val="00183CD4"/>
    <w:rsid w:val="001843CF"/>
    <w:rsid w:val="0018510B"/>
    <w:rsid w:val="0018575D"/>
    <w:rsid w:val="0018636C"/>
    <w:rsid w:val="00186803"/>
    <w:rsid w:val="00186E06"/>
    <w:rsid w:val="00187130"/>
    <w:rsid w:val="0018783A"/>
    <w:rsid w:val="001878D0"/>
    <w:rsid w:val="001904E8"/>
    <w:rsid w:val="0019051D"/>
    <w:rsid w:val="00191D26"/>
    <w:rsid w:val="00191D4F"/>
    <w:rsid w:val="00191D9C"/>
    <w:rsid w:val="00191E85"/>
    <w:rsid w:val="00192910"/>
    <w:rsid w:val="001930B5"/>
    <w:rsid w:val="0019342F"/>
    <w:rsid w:val="00193668"/>
    <w:rsid w:val="00193CD3"/>
    <w:rsid w:val="00194261"/>
    <w:rsid w:val="00194CA2"/>
    <w:rsid w:val="00195146"/>
    <w:rsid w:val="001951D0"/>
    <w:rsid w:val="001964FA"/>
    <w:rsid w:val="00196B73"/>
    <w:rsid w:val="00197127"/>
    <w:rsid w:val="00197561"/>
    <w:rsid w:val="00197690"/>
    <w:rsid w:val="001A0198"/>
    <w:rsid w:val="001A01BD"/>
    <w:rsid w:val="001A0B93"/>
    <w:rsid w:val="001A12AB"/>
    <w:rsid w:val="001A15F9"/>
    <w:rsid w:val="001A16D9"/>
    <w:rsid w:val="001A18BF"/>
    <w:rsid w:val="001A1BFC"/>
    <w:rsid w:val="001A1C5C"/>
    <w:rsid w:val="001A1FCF"/>
    <w:rsid w:val="001A200D"/>
    <w:rsid w:val="001A207D"/>
    <w:rsid w:val="001A2440"/>
    <w:rsid w:val="001A25BC"/>
    <w:rsid w:val="001A25CE"/>
    <w:rsid w:val="001A2BC7"/>
    <w:rsid w:val="001A2BD2"/>
    <w:rsid w:val="001A35B2"/>
    <w:rsid w:val="001A35D3"/>
    <w:rsid w:val="001A390C"/>
    <w:rsid w:val="001A391E"/>
    <w:rsid w:val="001A3C33"/>
    <w:rsid w:val="001A4DF1"/>
    <w:rsid w:val="001A4E1F"/>
    <w:rsid w:val="001A54A0"/>
    <w:rsid w:val="001A5529"/>
    <w:rsid w:val="001A55DA"/>
    <w:rsid w:val="001A577D"/>
    <w:rsid w:val="001A5A8D"/>
    <w:rsid w:val="001A6574"/>
    <w:rsid w:val="001A6920"/>
    <w:rsid w:val="001A717D"/>
    <w:rsid w:val="001A7580"/>
    <w:rsid w:val="001A7B3F"/>
    <w:rsid w:val="001B0B14"/>
    <w:rsid w:val="001B1772"/>
    <w:rsid w:val="001B1F52"/>
    <w:rsid w:val="001B347D"/>
    <w:rsid w:val="001B397B"/>
    <w:rsid w:val="001B3DD2"/>
    <w:rsid w:val="001B4676"/>
    <w:rsid w:val="001B481C"/>
    <w:rsid w:val="001B4CE6"/>
    <w:rsid w:val="001B5A7F"/>
    <w:rsid w:val="001B60AE"/>
    <w:rsid w:val="001B60E3"/>
    <w:rsid w:val="001B647E"/>
    <w:rsid w:val="001B6686"/>
    <w:rsid w:val="001B6B22"/>
    <w:rsid w:val="001B6B26"/>
    <w:rsid w:val="001B6C7E"/>
    <w:rsid w:val="001B78A8"/>
    <w:rsid w:val="001B7B1D"/>
    <w:rsid w:val="001C0B74"/>
    <w:rsid w:val="001C1943"/>
    <w:rsid w:val="001C197A"/>
    <w:rsid w:val="001C1ABD"/>
    <w:rsid w:val="001C1B6F"/>
    <w:rsid w:val="001C1D44"/>
    <w:rsid w:val="001C30BB"/>
    <w:rsid w:val="001C3828"/>
    <w:rsid w:val="001C410E"/>
    <w:rsid w:val="001C5330"/>
    <w:rsid w:val="001C6616"/>
    <w:rsid w:val="001C67B9"/>
    <w:rsid w:val="001C6F55"/>
    <w:rsid w:val="001C74A9"/>
    <w:rsid w:val="001C7CC9"/>
    <w:rsid w:val="001D00A2"/>
    <w:rsid w:val="001D0384"/>
    <w:rsid w:val="001D0389"/>
    <w:rsid w:val="001D07D7"/>
    <w:rsid w:val="001D0BCC"/>
    <w:rsid w:val="001D1B15"/>
    <w:rsid w:val="001D1C87"/>
    <w:rsid w:val="001D1CAC"/>
    <w:rsid w:val="001D1D48"/>
    <w:rsid w:val="001D1ED3"/>
    <w:rsid w:val="001D29EB"/>
    <w:rsid w:val="001D35F7"/>
    <w:rsid w:val="001D3E19"/>
    <w:rsid w:val="001D409C"/>
    <w:rsid w:val="001D4234"/>
    <w:rsid w:val="001D43FB"/>
    <w:rsid w:val="001D48AA"/>
    <w:rsid w:val="001D4A8E"/>
    <w:rsid w:val="001D4F96"/>
    <w:rsid w:val="001D54E9"/>
    <w:rsid w:val="001D5565"/>
    <w:rsid w:val="001D57FA"/>
    <w:rsid w:val="001D5BD4"/>
    <w:rsid w:val="001D5DE1"/>
    <w:rsid w:val="001D5E1F"/>
    <w:rsid w:val="001D6154"/>
    <w:rsid w:val="001D62F8"/>
    <w:rsid w:val="001D65E0"/>
    <w:rsid w:val="001D6A4B"/>
    <w:rsid w:val="001D6CA7"/>
    <w:rsid w:val="001D7C5D"/>
    <w:rsid w:val="001D7D04"/>
    <w:rsid w:val="001D7D55"/>
    <w:rsid w:val="001D7E3D"/>
    <w:rsid w:val="001E038A"/>
    <w:rsid w:val="001E08F9"/>
    <w:rsid w:val="001E0B96"/>
    <w:rsid w:val="001E16F6"/>
    <w:rsid w:val="001E1AAE"/>
    <w:rsid w:val="001E1ACE"/>
    <w:rsid w:val="001E1E20"/>
    <w:rsid w:val="001E1EAA"/>
    <w:rsid w:val="001E2311"/>
    <w:rsid w:val="001E3284"/>
    <w:rsid w:val="001E41D5"/>
    <w:rsid w:val="001E447F"/>
    <w:rsid w:val="001E44FA"/>
    <w:rsid w:val="001E4D09"/>
    <w:rsid w:val="001E4D6F"/>
    <w:rsid w:val="001E4E17"/>
    <w:rsid w:val="001E508E"/>
    <w:rsid w:val="001E5314"/>
    <w:rsid w:val="001E556F"/>
    <w:rsid w:val="001E5A5D"/>
    <w:rsid w:val="001E628D"/>
    <w:rsid w:val="001E6399"/>
    <w:rsid w:val="001E6972"/>
    <w:rsid w:val="001E69A4"/>
    <w:rsid w:val="001E6C54"/>
    <w:rsid w:val="001E6FA7"/>
    <w:rsid w:val="001E71F3"/>
    <w:rsid w:val="001E723B"/>
    <w:rsid w:val="001E79EE"/>
    <w:rsid w:val="001E7ED0"/>
    <w:rsid w:val="001E7F68"/>
    <w:rsid w:val="001F0606"/>
    <w:rsid w:val="001F0EF8"/>
    <w:rsid w:val="001F0F67"/>
    <w:rsid w:val="001F1BF3"/>
    <w:rsid w:val="001F2B05"/>
    <w:rsid w:val="001F2B0B"/>
    <w:rsid w:val="001F331A"/>
    <w:rsid w:val="001F37D4"/>
    <w:rsid w:val="001F3C73"/>
    <w:rsid w:val="001F3D9A"/>
    <w:rsid w:val="001F43F1"/>
    <w:rsid w:val="001F4C53"/>
    <w:rsid w:val="001F5387"/>
    <w:rsid w:val="001F5C80"/>
    <w:rsid w:val="001F5DEE"/>
    <w:rsid w:val="001F60FC"/>
    <w:rsid w:val="001F7830"/>
    <w:rsid w:val="001F79A2"/>
    <w:rsid w:val="001F7CC2"/>
    <w:rsid w:val="00200B70"/>
    <w:rsid w:val="00200B9F"/>
    <w:rsid w:val="00200BF1"/>
    <w:rsid w:val="00200E5E"/>
    <w:rsid w:val="00201066"/>
    <w:rsid w:val="00201239"/>
    <w:rsid w:val="00201652"/>
    <w:rsid w:val="00201C4A"/>
    <w:rsid w:val="00202051"/>
    <w:rsid w:val="00202221"/>
    <w:rsid w:val="0020376F"/>
    <w:rsid w:val="00203BBE"/>
    <w:rsid w:val="00203D41"/>
    <w:rsid w:val="00203F18"/>
    <w:rsid w:val="00204B6A"/>
    <w:rsid w:val="00205FEA"/>
    <w:rsid w:val="00206FB1"/>
    <w:rsid w:val="00207596"/>
    <w:rsid w:val="00207A50"/>
    <w:rsid w:val="00207ECA"/>
    <w:rsid w:val="00210BBF"/>
    <w:rsid w:val="00210C47"/>
    <w:rsid w:val="00210C4B"/>
    <w:rsid w:val="00210CBC"/>
    <w:rsid w:val="00210D21"/>
    <w:rsid w:val="00210E07"/>
    <w:rsid w:val="0021106F"/>
    <w:rsid w:val="00211585"/>
    <w:rsid w:val="002116C5"/>
    <w:rsid w:val="00211AF1"/>
    <w:rsid w:val="00211E22"/>
    <w:rsid w:val="002125C3"/>
    <w:rsid w:val="00212D97"/>
    <w:rsid w:val="00212F64"/>
    <w:rsid w:val="00213031"/>
    <w:rsid w:val="00213097"/>
    <w:rsid w:val="00213235"/>
    <w:rsid w:val="00213B4C"/>
    <w:rsid w:val="00213D65"/>
    <w:rsid w:val="0021418F"/>
    <w:rsid w:val="0021436F"/>
    <w:rsid w:val="00215A9E"/>
    <w:rsid w:val="00215B82"/>
    <w:rsid w:val="00215DE7"/>
    <w:rsid w:val="00216181"/>
    <w:rsid w:val="002165A6"/>
    <w:rsid w:val="0021666E"/>
    <w:rsid w:val="002167D5"/>
    <w:rsid w:val="002171B0"/>
    <w:rsid w:val="002174C5"/>
    <w:rsid w:val="0021787B"/>
    <w:rsid w:val="00220188"/>
    <w:rsid w:val="002206BC"/>
    <w:rsid w:val="00220A34"/>
    <w:rsid w:val="00221776"/>
    <w:rsid w:val="002217C2"/>
    <w:rsid w:val="00221D3E"/>
    <w:rsid w:val="00222A84"/>
    <w:rsid w:val="00223872"/>
    <w:rsid w:val="00223B3C"/>
    <w:rsid w:val="00223D27"/>
    <w:rsid w:val="00224037"/>
    <w:rsid w:val="0022438A"/>
    <w:rsid w:val="00224420"/>
    <w:rsid w:val="00225791"/>
    <w:rsid w:val="00225A61"/>
    <w:rsid w:val="00225BA1"/>
    <w:rsid w:val="00225BDB"/>
    <w:rsid w:val="00225D72"/>
    <w:rsid w:val="00225DD1"/>
    <w:rsid w:val="00226039"/>
    <w:rsid w:val="00226D0F"/>
    <w:rsid w:val="00226FC3"/>
    <w:rsid w:val="002277E6"/>
    <w:rsid w:val="00227F3F"/>
    <w:rsid w:val="002305EA"/>
    <w:rsid w:val="00230685"/>
    <w:rsid w:val="002309BF"/>
    <w:rsid w:val="00231286"/>
    <w:rsid w:val="002312BC"/>
    <w:rsid w:val="00231A0F"/>
    <w:rsid w:val="00232168"/>
    <w:rsid w:val="002321CE"/>
    <w:rsid w:val="002325E1"/>
    <w:rsid w:val="002326F5"/>
    <w:rsid w:val="00232EDA"/>
    <w:rsid w:val="00232F05"/>
    <w:rsid w:val="00233030"/>
    <w:rsid w:val="00233061"/>
    <w:rsid w:val="00233200"/>
    <w:rsid w:val="00233391"/>
    <w:rsid w:val="002335B7"/>
    <w:rsid w:val="00233819"/>
    <w:rsid w:val="0023387D"/>
    <w:rsid w:val="00233969"/>
    <w:rsid w:val="00233A31"/>
    <w:rsid w:val="00234B2E"/>
    <w:rsid w:val="00235AA8"/>
    <w:rsid w:val="00236356"/>
    <w:rsid w:val="002368F3"/>
    <w:rsid w:val="00237477"/>
    <w:rsid w:val="0023759E"/>
    <w:rsid w:val="00240E77"/>
    <w:rsid w:val="0024102C"/>
    <w:rsid w:val="00241895"/>
    <w:rsid w:val="00241A4D"/>
    <w:rsid w:val="00241A69"/>
    <w:rsid w:val="00241D1B"/>
    <w:rsid w:val="00241ED8"/>
    <w:rsid w:val="0024200A"/>
    <w:rsid w:val="002420A2"/>
    <w:rsid w:val="00242105"/>
    <w:rsid w:val="002429C4"/>
    <w:rsid w:val="00242C1D"/>
    <w:rsid w:val="00242CA4"/>
    <w:rsid w:val="00242F30"/>
    <w:rsid w:val="00243512"/>
    <w:rsid w:val="0024406C"/>
    <w:rsid w:val="0024431A"/>
    <w:rsid w:val="002445B3"/>
    <w:rsid w:val="00244869"/>
    <w:rsid w:val="00244B41"/>
    <w:rsid w:val="00245254"/>
    <w:rsid w:val="0024542E"/>
    <w:rsid w:val="00245672"/>
    <w:rsid w:val="00245CA0"/>
    <w:rsid w:val="00246D09"/>
    <w:rsid w:val="0024733A"/>
    <w:rsid w:val="00247581"/>
    <w:rsid w:val="0024795E"/>
    <w:rsid w:val="00247DCC"/>
    <w:rsid w:val="002500B5"/>
    <w:rsid w:val="002501F8"/>
    <w:rsid w:val="00250C73"/>
    <w:rsid w:val="00250D6D"/>
    <w:rsid w:val="00250ECB"/>
    <w:rsid w:val="00251579"/>
    <w:rsid w:val="00251AF0"/>
    <w:rsid w:val="00251BD4"/>
    <w:rsid w:val="00251E40"/>
    <w:rsid w:val="0025286A"/>
    <w:rsid w:val="00252A19"/>
    <w:rsid w:val="0025300D"/>
    <w:rsid w:val="00253309"/>
    <w:rsid w:val="00253615"/>
    <w:rsid w:val="0025450E"/>
    <w:rsid w:val="002545D8"/>
    <w:rsid w:val="00254FE7"/>
    <w:rsid w:val="00255616"/>
    <w:rsid w:val="0025568A"/>
    <w:rsid w:val="0025591F"/>
    <w:rsid w:val="00255B0C"/>
    <w:rsid w:val="00255F9F"/>
    <w:rsid w:val="002565C8"/>
    <w:rsid w:val="00256719"/>
    <w:rsid w:val="002568A7"/>
    <w:rsid w:val="0025777D"/>
    <w:rsid w:val="00257923"/>
    <w:rsid w:val="00257E04"/>
    <w:rsid w:val="00257FBB"/>
    <w:rsid w:val="00257FDA"/>
    <w:rsid w:val="00260502"/>
    <w:rsid w:val="00260819"/>
    <w:rsid w:val="00260B34"/>
    <w:rsid w:val="00260E21"/>
    <w:rsid w:val="00260E32"/>
    <w:rsid w:val="0026166D"/>
    <w:rsid w:val="002617E6"/>
    <w:rsid w:val="00261D42"/>
    <w:rsid w:val="0026221E"/>
    <w:rsid w:val="00262719"/>
    <w:rsid w:val="00262DBE"/>
    <w:rsid w:val="0026344F"/>
    <w:rsid w:val="00264203"/>
    <w:rsid w:val="00264282"/>
    <w:rsid w:val="00264761"/>
    <w:rsid w:val="00264980"/>
    <w:rsid w:val="00265048"/>
    <w:rsid w:val="002650D9"/>
    <w:rsid w:val="00266218"/>
    <w:rsid w:val="00266575"/>
    <w:rsid w:val="00266A19"/>
    <w:rsid w:val="00267721"/>
    <w:rsid w:val="00270121"/>
    <w:rsid w:val="002706E5"/>
    <w:rsid w:val="00270D2A"/>
    <w:rsid w:val="00270E1B"/>
    <w:rsid w:val="00271937"/>
    <w:rsid w:val="002720E1"/>
    <w:rsid w:val="002724E6"/>
    <w:rsid w:val="00272658"/>
    <w:rsid w:val="00272AE9"/>
    <w:rsid w:val="0027315A"/>
    <w:rsid w:val="00273BC2"/>
    <w:rsid w:val="00273CB3"/>
    <w:rsid w:val="00273D4A"/>
    <w:rsid w:val="00273F21"/>
    <w:rsid w:val="00274306"/>
    <w:rsid w:val="00274386"/>
    <w:rsid w:val="0027463B"/>
    <w:rsid w:val="002746B4"/>
    <w:rsid w:val="00275033"/>
    <w:rsid w:val="002755C7"/>
    <w:rsid w:val="00276169"/>
    <w:rsid w:val="0027678F"/>
    <w:rsid w:val="00276FA2"/>
    <w:rsid w:val="0027784E"/>
    <w:rsid w:val="00277E30"/>
    <w:rsid w:val="002800C4"/>
    <w:rsid w:val="002803EB"/>
    <w:rsid w:val="0028071B"/>
    <w:rsid w:val="00280E09"/>
    <w:rsid w:val="0028162C"/>
    <w:rsid w:val="00281763"/>
    <w:rsid w:val="002820A1"/>
    <w:rsid w:val="00282168"/>
    <w:rsid w:val="00282286"/>
    <w:rsid w:val="00282288"/>
    <w:rsid w:val="002824E4"/>
    <w:rsid w:val="0028374A"/>
    <w:rsid w:val="0028417A"/>
    <w:rsid w:val="002849AD"/>
    <w:rsid w:val="00285438"/>
    <w:rsid w:val="00285683"/>
    <w:rsid w:val="002856AD"/>
    <w:rsid w:val="00285A5D"/>
    <w:rsid w:val="002864B8"/>
    <w:rsid w:val="00286CDE"/>
    <w:rsid w:val="00287572"/>
    <w:rsid w:val="002875F4"/>
    <w:rsid w:val="002877E3"/>
    <w:rsid w:val="002878A9"/>
    <w:rsid w:val="002901EB"/>
    <w:rsid w:val="00290336"/>
    <w:rsid w:val="002905FB"/>
    <w:rsid w:val="0029073E"/>
    <w:rsid w:val="00290B96"/>
    <w:rsid w:val="002913F5"/>
    <w:rsid w:val="00291902"/>
    <w:rsid w:val="002919D3"/>
    <w:rsid w:val="002924E2"/>
    <w:rsid w:val="00292870"/>
    <w:rsid w:val="00292F71"/>
    <w:rsid w:val="00293BC3"/>
    <w:rsid w:val="002945F1"/>
    <w:rsid w:val="002948D8"/>
    <w:rsid w:val="00294CD9"/>
    <w:rsid w:val="00294ED4"/>
    <w:rsid w:val="0029505F"/>
    <w:rsid w:val="002951A5"/>
    <w:rsid w:val="00295A16"/>
    <w:rsid w:val="00295DC7"/>
    <w:rsid w:val="00296740"/>
    <w:rsid w:val="00296DD2"/>
    <w:rsid w:val="0029768E"/>
    <w:rsid w:val="00297C13"/>
    <w:rsid w:val="00297C86"/>
    <w:rsid w:val="00297CA8"/>
    <w:rsid w:val="00297F71"/>
    <w:rsid w:val="002A00B7"/>
    <w:rsid w:val="002A0143"/>
    <w:rsid w:val="002A06EE"/>
    <w:rsid w:val="002A08A1"/>
    <w:rsid w:val="002A0F72"/>
    <w:rsid w:val="002A0F83"/>
    <w:rsid w:val="002A275B"/>
    <w:rsid w:val="002A3358"/>
    <w:rsid w:val="002A3B42"/>
    <w:rsid w:val="002A45FC"/>
    <w:rsid w:val="002A4AA4"/>
    <w:rsid w:val="002A5055"/>
    <w:rsid w:val="002A553C"/>
    <w:rsid w:val="002A5627"/>
    <w:rsid w:val="002A5D7C"/>
    <w:rsid w:val="002A5F3D"/>
    <w:rsid w:val="002A5FAE"/>
    <w:rsid w:val="002A665C"/>
    <w:rsid w:val="002A673E"/>
    <w:rsid w:val="002A677C"/>
    <w:rsid w:val="002A73DC"/>
    <w:rsid w:val="002A775D"/>
    <w:rsid w:val="002A7901"/>
    <w:rsid w:val="002B0953"/>
    <w:rsid w:val="002B109D"/>
    <w:rsid w:val="002B16DD"/>
    <w:rsid w:val="002B1940"/>
    <w:rsid w:val="002B1FFA"/>
    <w:rsid w:val="002B2628"/>
    <w:rsid w:val="002B3143"/>
    <w:rsid w:val="002B317D"/>
    <w:rsid w:val="002B39E9"/>
    <w:rsid w:val="002B3A76"/>
    <w:rsid w:val="002B3B87"/>
    <w:rsid w:val="002B4315"/>
    <w:rsid w:val="002B4594"/>
    <w:rsid w:val="002B4800"/>
    <w:rsid w:val="002B53C9"/>
    <w:rsid w:val="002B60F4"/>
    <w:rsid w:val="002B7304"/>
    <w:rsid w:val="002B7BCF"/>
    <w:rsid w:val="002B7CD3"/>
    <w:rsid w:val="002C010B"/>
    <w:rsid w:val="002C021C"/>
    <w:rsid w:val="002C0C35"/>
    <w:rsid w:val="002C1081"/>
    <w:rsid w:val="002C1103"/>
    <w:rsid w:val="002C13A2"/>
    <w:rsid w:val="002C21E2"/>
    <w:rsid w:val="002C2321"/>
    <w:rsid w:val="002C2812"/>
    <w:rsid w:val="002C283A"/>
    <w:rsid w:val="002C2D9D"/>
    <w:rsid w:val="002C35F4"/>
    <w:rsid w:val="002C3AE0"/>
    <w:rsid w:val="002C3C18"/>
    <w:rsid w:val="002C3C5E"/>
    <w:rsid w:val="002C3F9A"/>
    <w:rsid w:val="002C4578"/>
    <w:rsid w:val="002C4B63"/>
    <w:rsid w:val="002C4DC8"/>
    <w:rsid w:val="002C4F4C"/>
    <w:rsid w:val="002C50B3"/>
    <w:rsid w:val="002C537E"/>
    <w:rsid w:val="002C5822"/>
    <w:rsid w:val="002C5FA2"/>
    <w:rsid w:val="002C60BD"/>
    <w:rsid w:val="002C64BE"/>
    <w:rsid w:val="002C64F7"/>
    <w:rsid w:val="002C6D3D"/>
    <w:rsid w:val="002C7073"/>
    <w:rsid w:val="002C7B2B"/>
    <w:rsid w:val="002C7B58"/>
    <w:rsid w:val="002D029E"/>
    <w:rsid w:val="002D0B58"/>
    <w:rsid w:val="002D10EC"/>
    <w:rsid w:val="002D1134"/>
    <w:rsid w:val="002D1262"/>
    <w:rsid w:val="002D126F"/>
    <w:rsid w:val="002D286C"/>
    <w:rsid w:val="002D3872"/>
    <w:rsid w:val="002D39DC"/>
    <w:rsid w:val="002D3DBE"/>
    <w:rsid w:val="002D456A"/>
    <w:rsid w:val="002D47E5"/>
    <w:rsid w:val="002D4C8E"/>
    <w:rsid w:val="002D5000"/>
    <w:rsid w:val="002D6059"/>
    <w:rsid w:val="002D695C"/>
    <w:rsid w:val="002D728E"/>
    <w:rsid w:val="002D78A7"/>
    <w:rsid w:val="002D7AAE"/>
    <w:rsid w:val="002D7BBB"/>
    <w:rsid w:val="002D7C57"/>
    <w:rsid w:val="002E058A"/>
    <w:rsid w:val="002E062F"/>
    <w:rsid w:val="002E1087"/>
    <w:rsid w:val="002E1274"/>
    <w:rsid w:val="002E14AD"/>
    <w:rsid w:val="002E1905"/>
    <w:rsid w:val="002E1C13"/>
    <w:rsid w:val="002E2213"/>
    <w:rsid w:val="002E293A"/>
    <w:rsid w:val="002E3421"/>
    <w:rsid w:val="002E3A62"/>
    <w:rsid w:val="002E3CF8"/>
    <w:rsid w:val="002E3D47"/>
    <w:rsid w:val="002E40C6"/>
    <w:rsid w:val="002E42BA"/>
    <w:rsid w:val="002E6080"/>
    <w:rsid w:val="002E653B"/>
    <w:rsid w:val="002E68EC"/>
    <w:rsid w:val="002E6931"/>
    <w:rsid w:val="002E6CC2"/>
    <w:rsid w:val="002E79C4"/>
    <w:rsid w:val="002E7AB4"/>
    <w:rsid w:val="002E7D45"/>
    <w:rsid w:val="002F0444"/>
    <w:rsid w:val="002F054C"/>
    <w:rsid w:val="002F096E"/>
    <w:rsid w:val="002F0EF0"/>
    <w:rsid w:val="002F130F"/>
    <w:rsid w:val="002F23E7"/>
    <w:rsid w:val="002F26DA"/>
    <w:rsid w:val="002F2E9F"/>
    <w:rsid w:val="002F383A"/>
    <w:rsid w:val="002F3D41"/>
    <w:rsid w:val="002F40B9"/>
    <w:rsid w:val="002F4240"/>
    <w:rsid w:val="002F46DD"/>
    <w:rsid w:val="002F4B57"/>
    <w:rsid w:val="002F4DF9"/>
    <w:rsid w:val="002F5200"/>
    <w:rsid w:val="002F5270"/>
    <w:rsid w:val="002F551C"/>
    <w:rsid w:val="002F60BC"/>
    <w:rsid w:val="002F6143"/>
    <w:rsid w:val="002F6985"/>
    <w:rsid w:val="002F7362"/>
    <w:rsid w:val="002F7397"/>
    <w:rsid w:val="002F7758"/>
    <w:rsid w:val="002F7A6F"/>
    <w:rsid w:val="003006C9"/>
    <w:rsid w:val="0030077F"/>
    <w:rsid w:val="00300A29"/>
    <w:rsid w:val="00300BA1"/>
    <w:rsid w:val="00300D5F"/>
    <w:rsid w:val="00300E62"/>
    <w:rsid w:val="00300E82"/>
    <w:rsid w:val="003010DD"/>
    <w:rsid w:val="0030170A"/>
    <w:rsid w:val="00301C50"/>
    <w:rsid w:val="00301CEF"/>
    <w:rsid w:val="00301F88"/>
    <w:rsid w:val="00302519"/>
    <w:rsid w:val="003029E1"/>
    <w:rsid w:val="003038D8"/>
    <w:rsid w:val="003039F0"/>
    <w:rsid w:val="00303BDD"/>
    <w:rsid w:val="00303CD2"/>
    <w:rsid w:val="003048C5"/>
    <w:rsid w:val="00306232"/>
    <w:rsid w:val="0030712E"/>
    <w:rsid w:val="00307522"/>
    <w:rsid w:val="003106F6"/>
    <w:rsid w:val="003108B7"/>
    <w:rsid w:val="00310CAE"/>
    <w:rsid w:val="003112AE"/>
    <w:rsid w:val="00311EB8"/>
    <w:rsid w:val="00313027"/>
    <w:rsid w:val="00313342"/>
    <w:rsid w:val="003134E8"/>
    <w:rsid w:val="00314254"/>
    <w:rsid w:val="0031445F"/>
    <w:rsid w:val="003145D8"/>
    <w:rsid w:val="003150E1"/>
    <w:rsid w:val="003155EB"/>
    <w:rsid w:val="00317EE4"/>
    <w:rsid w:val="00317F6C"/>
    <w:rsid w:val="00320014"/>
    <w:rsid w:val="003200A2"/>
    <w:rsid w:val="0032031D"/>
    <w:rsid w:val="003206D8"/>
    <w:rsid w:val="00321D5E"/>
    <w:rsid w:val="00322584"/>
    <w:rsid w:val="003227AC"/>
    <w:rsid w:val="003227D0"/>
    <w:rsid w:val="00322A82"/>
    <w:rsid w:val="0032317B"/>
    <w:rsid w:val="00324090"/>
    <w:rsid w:val="00324981"/>
    <w:rsid w:val="003253F7"/>
    <w:rsid w:val="00325951"/>
    <w:rsid w:val="003259C6"/>
    <w:rsid w:val="00325F40"/>
    <w:rsid w:val="00326ED9"/>
    <w:rsid w:val="00327571"/>
    <w:rsid w:val="00327787"/>
    <w:rsid w:val="003278FC"/>
    <w:rsid w:val="00327ABB"/>
    <w:rsid w:val="00327B25"/>
    <w:rsid w:val="00327EF2"/>
    <w:rsid w:val="0033002B"/>
    <w:rsid w:val="003306CC"/>
    <w:rsid w:val="00330C18"/>
    <w:rsid w:val="00331828"/>
    <w:rsid w:val="00332100"/>
    <w:rsid w:val="00332986"/>
    <w:rsid w:val="00332B09"/>
    <w:rsid w:val="00332F8F"/>
    <w:rsid w:val="0033309F"/>
    <w:rsid w:val="003330B6"/>
    <w:rsid w:val="003330BB"/>
    <w:rsid w:val="003334DE"/>
    <w:rsid w:val="00333A58"/>
    <w:rsid w:val="00333DBE"/>
    <w:rsid w:val="00334194"/>
    <w:rsid w:val="00334DB2"/>
    <w:rsid w:val="00334DC7"/>
    <w:rsid w:val="00335873"/>
    <w:rsid w:val="00335A37"/>
    <w:rsid w:val="0033647E"/>
    <w:rsid w:val="00336AC8"/>
    <w:rsid w:val="003372B3"/>
    <w:rsid w:val="003373BC"/>
    <w:rsid w:val="003374BE"/>
    <w:rsid w:val="003376D2"/>
    <w:rsid w:val="0033776D"/>
    <w:rsid w:val="00337B86"/>
    <w:rsid w:val="00337CC2"/>
    <w:rsid w:val="00340652"/>
    <w:rsid w:val="003407DA"/>
    <w:rsid w:val="0034080A"/>
    <w:rsid w:val="00340D90"/>
    <w:rsid w:val="00340DC2"/>
    <w:rsid w:val="00340DED"/>
    <w:rsid w:val="0034101B"/>
    <w:rsid w:val="00341434"/>
    <w:rsid w:val="003414FD"/>
    <w:rsid w:val="003415A0"/>
    <w:rsid w:val="00342131"/>
    <w:rsid w:val="00342256"/>
    <w:rsid w:val="00342556"/>
    <w:rsid w:val="00342B43"/>
    <w:rsid w:val="003433AA"/>
    <w:rsid w:val="00343677"/>
    <w:rsid w:val="00343AF3"/>
    <w:rsid w:val="00343F57"/>
    <w:rsid w:val="003442D6"/>
    <w:rsid w:val="003442EE"/>
    <w:rsid w:val="00344978"/>
    <w:rsid w:val="00344EF7"/>
    <w:rsid w:val="00344F85"/>
    <w:rsid w:val="003450B8"/>
    <w:rsid w:val="00345409"/>
    <w:rsid w:val="00345429"/>
    <w:rsid w:val="003456C9"/>
    <w:rsid w:val="003462BB"/>
    <w:rsid w:val="00346B4C"/>
    <w:rsid w:val="00347076"/>
    <w:rsid w:val="00347570"/>
    <w:rsid w:val="003475AC"/>
    <w:rsid w:val="0034797C"/>
    <w:rsid w:val="00350534"/>
    <w:rsid w:val="0035081C"/>
    <w:rsid w:val="003508F0"/>
    <w:rsid w:val="00350C1D"/>
    <w:rsid w:val="003516F6"/>
    <w:rsid w:val="0035225D"/>
    <w:rsid w:val="003526D5"/>
    <w:rsid w:val="003528C6"/>
    <w:rsid w:val="00352B43"/>
    <w:rsid w:val="00352B58"/>
    <w:rsid w:val="00352D66"/>
    <w:rsid w:val="003538B8"/>
    <w:rsid w:val="00353D34"/>
    <w:rsid w:val="00354025"/>
    <w:rsid w:val="00354A5E"/>
    <w:rsid w:val="0035549E"/>
    <w:rsid w:val="00355694"/>
    <w:rsid w:val="00355856"/>
    <w:rsid w:val="00355B55"/>
    <w:rsid w:val="00355F7C"/>
    <w:rsid w:val="003564FF"/>
    <w:rsid w:val="003565E4"/>
    <w:rsid w:val="00356B6B"/>
    <w:rsid w:val="003575CD"/>
    <w:rsid w:val="00357D0B"/>
    <w:rsid w:val="0036073A"/>
    <w:rsid w:val="00360BA6"/>
    <w:rsid w:val="003615A4"/>
    <w:rsid w:val="0036188C"/>
    <w:rsid w:val="0036219C"/>
    <w:rsid w:val="00362AF1"/>
    <w:rsid w:val="00362D3F"/>
    <w:rsid w:val="00363271"/>
    <w:rsid w:val="00363FF0"/>
    <w:rsid w:val="003648AE"/>
    <w:rsid w:val="00364A18"/>
    <w:rsid w:val="00364EB5"/>
    <w:rsid w:val="00364F72"/>
    <w:rsid w:val="0036505C"/>
    <w:rsid w:val="00365B59"/>
    <w:rsid w:val="00365DEA"/>
    <w:rsid w:val="003663D8"/>
    <w:rsid w:val="003663E3"/>
    <w:rsid w:val="0036693A"/>
    <w:rsid w:val="00366C88"/>
    <w:rsid w:val="00366FE1"/>
    <w:rsid w:val="00367054"/>
    <w:rsid w:val="0036739C"/>
    <w:rsid w:val="00367568"/>
    <w:rsid w:val="003675D8"/>
    <w:rsid w:val="00367715"/>
    <w:rsid w:val="00367D60"/>
    <w:rsid w:val="003731DE"/>
    <w:rsid w:val="003735E2"/>
    <w:rsid w:val="00374B43"/>
    <w:rsid w:val="00374C6D"/>
    <w:rsid w:val="00374EB3"/>
    <w:rsid w:val="00374FCB"/>
    <w:rsid w:val="00375451"/>
    <w:rsid w:val="003762B5"/>
    <w:rsid w:val="003763D3"/>
    <w:rsid w:val="003763D6"/>
    <w:rsid w:val="003766A5"/>
    <w:rsid w:val="00376D4B"/>
    <w:rsid w:val="00376DEB"/>
    <w:rsid w:val="00377081"/>
    <w:rsid w:val="00377957"/>
    <w:rsid w:val="00377DC7"/>
    <w:rsid w:val="00377EED"/>
    <w:rsid w:val="003800B4"/>
    <w:rsid w:val="0038010F"/>
    <w:rsid w:val="003803CF"/>
    <w:rsid w:val="0038050F"/>
    <w:rsid w:val="00380706"/>
    <w:rsid w:val="0038074A"/>
    <w:rsid w:val="00380F4C"/>
    <w:rsid w:val="0038139A"/>
    <w:rsid w:val="00381547"/>
    <w:rsid w:val="003816E9"/>
    <w:rsid w:val="003819AA"/>
    <w:rsid w:val="00381E22"/>
    <w:rsid w:val="0038262A"/>
    <w:rsid w:val="00382644"/>
    <w:rsid w:val="00382BBB"/>
    <w:rsid w:val="00382E86"/>
    <w:rsid w:val="00383337"/>
    <w:rsid w:val="00383789"/>
    <w:rsid w:val="00383BF5"/>
    <w:rsid w:val="00383C31"/>
    <w:rsid w:val="0038497C"/>
    <w:rsid w:val="003856FF"/>
    <w:rsid w:val="003864D3"/>
    <w:rsid w:val="00386A71"/>
    <w:rsid w:val="00387182"/>
    <w:rsid w:val="0038761B"/>
    <w:rsid w:val="003877F4"/>
    <w:rsid w:val="00387990"/>
    <w:rsid w:val="00387BB1"/>
    <w:rsid w:val="00390228"/>
    <w:rsid w:val="003905FB"/>
    <w:rsid w:val="00392513"/>
    <w:rsid w:val="0039320B"/>
    <w:rsid w:val="003932D6"/>
    <w:rsid w:val="00393ADE"/>
    <w:rsid w:val="00393F77"/>
    <w:rsid w:val="003940F1"/>
    <w:rsid w:val="00394419"/>
    <w:rsid w:val="003949E9"/>
    <w:rsid w:val="00394A58"/>
    <w:rsid w:val="00394D8A"/>
    <w:rsid w:val="00394EA3"/>
    <w:rsid w:val="003950BE"/>
    <w:rsid w:val="003953A1"/>
    <w:rsid w:val="00395717"/>
    <w:rsid w:val="003957EE"/>
    <w:rsid w:val="00395CC9"/>
    <w:rsid w:val="0039669C"/>
    <w:rsid w:val="003969D0"/>
    <w:rsid w:val="00396C8B"/>
    <w:rsid w:val="003973E8"/>
    <w:rsid w:val="003A0262"/>
    <w:rsid w:val="003A0C22"/>
    <w:rsid w:val="003A213F"/>
    <w:rsid w:val="003A3CF7"/>
    <w:rsid w:val="003A3DDF"/>
    <w:rsid w:val="003A3EC0"/>
    <w:rsid w:val="003A41BE"/>
    <w:rsid w:val="003A4663"/>
    <w:rsid w:val="003A46AA"/>
    <w:rsid w:val="003A493C"/>
    <w:rsid w:val="003A5536"/>
    <w:rsid w:val="003A5624"/>
    <w:rsid w:val="003A5D5D"/>
    <w:rsid w:val="003A627D"/>
    <w:rsid w:val="003A7612"/>
    <w:rsid w:val="003A7685"/>
    <w:rsid w:val="003A78AE"/>
    <w:rsid w:val="003A7D90"/>
    <w:rsid w:val="003A7DBD"/>
    <w:rsid w:val="003B0212"/>
    <w:rsid w:val="003B1172"/>
    <w:rsid w:val="003B14DE"/>
    <w:rsid w:val="003B16F3"/>
    <w:rsid w:val="003B1D09"/>
    <w:rsid w:val="003B2525"/>
    <w:rsid w:val="003B2B3C"/>
    <w:rsid w:val="003B3475"/>
    <w:rsid w:val="003B454B"/>
    <w:rsid w:val="003B4772"/>
    <w:rsid w:val="003B4EAD"/>
    <w:rsid w:val="003B5269"/>
    <w:rsid w:val="003B52B4"/>
    <w:rsid w:val="003B53CB"/>
    <w:rsid w:val="003B55A8"/>
    <w:rsid w:val="003B6323"/>
    <w:rsid w:val="003B6720"/>
    <w:rsid w:val="003C0504"/>
    <w:rsid w:val="003C0B7F"/>
    <w:rsid w:val="003C136E"/>
    <w:rsid w:val="003C176F"/>
    <w:rsid w:val="003C1A1B"/>
    <w:rsid w:val="003C1BF6"/>
    <w:rsid w:val="003C1C16"/>
    <w:rsid w:val="003C1EE1"/>
    <w:rsid w:val="003C2197"/>
    <w:rsid w:val="003C23FE"/>
    <w:rsid w:val="003C244C"/>
    <w:rsid w:val="003C3FE6"/>
    <w:rsid w:val="003C409F"/>
    <w:rsid w:val="003C4B22"/>
    <w:rsid w:val="003C5F28"/>
    <w:rsid w:val="003C60EA"/>
    <w:rsid w:val="003C6406"/>
    <w:rsid w:val="003C763A"/>
    <w:rsid w:val="003C79A9"/>
    <w:rsid w:val="003C7F69"/>
    <w:rsid w:val="003D010A"/>
    <w:rsid w:val="003D0327"/>
    <w:rsid w:val="003D05A6"/>
    <w:rsid w:val="003D0E76"/>
    <w:rsid w:val="003D1BA4"/>
    <w:rsid w:val="003D1FFD"/>
    <w:rsid w:val="003D2330"/>
    <w:rsid w:val="003D39F6"/>
    <w:rsid w:val="003D3B96"/>
    <w:rsid w:val="003D4057"/>
    <w:rsid w:val="003D476A"/>
    <w:rsid w:val="003D4EDE"/>
    <w:rsid w:val="003D4F4D"/>
    <w:rsid w:val="003D53BC"/>
    <w:rsid w:val="003D5CD9"/>
    <w:rsid w:val="003D6AE0"/>
    <w:rsid w:val="003D6B01"/>
    <w:rsid w:val="003D7958"/>
    <w:rsid w:val="003D7DC0"/>
    <w:rsid w:val="003D7F6E"/>
    <w:rsid w:val="003E14A9"/>
    <w:rsid w:val="003E1DCE"/>
    <w:rsid w:val="003E24A1"/>
    <w:rsid w:val="003E2ACA"/>
    <w:rsid w:val="003E2FB0"/>
    <w:rsid w:val="003E3C47"/>
    <w:rsid w:val="003E4049"/>
    <w:rsid w:val="003E4448"/>
    <w:rsid w:val="003E4626"/>
    <w:rsid w:val="003E4947"/>
    <w:rsid w:val="003E4D81"/>
    <w:rsid w:val="003E5382"/>
    <w:rsid w:val="003E55FC"/>
    <w:rsid w:val="003E5EB6"/>
    <w:rsid w:val="003E6349"/>
    <w:rsid w:val="003E6363"/>
    <w:rsid w:val="003E6627"/>
    <w:rsid w:val="003E714C"/>
    <w:rsid w:val="003E7449"/>
    <w:rsid w:val="003F015D"/>
    <w:rsid w:val="003F01A1"/>
    <w:rsid w:val="003F0E29"/>
    <w:rsid w:val="003F24BD"/>
    <w:rsid w:val="003F2782"/>
    <w:rsid w:val="003F2A36"/>
    <w:rsid w:val="003F2FB2"/>
    <w:rsid w:val="003F3D11"/>
    <w:rsid w:val="003F3F78"/>
    <w:rsid w:val="003F43D3"/>
    <w:rsid w:val="003F62CF"/>
    <w:rsid w:val="003F6EF8"/>
    <w:rsid w:val="003F7E75"/>
    <w:rsid w:val="003F7F0B"/>
    <w:rsid w:val="004004EE"/>
    <w:rsid w:val="00400B01"/>
    <w:rsid w:val="00400B90"/>
    <w:rsid w:val="00400D51"/>
    <w:rsid w:val="00400E88"/>
    <w:rsid w:val="00400FD0"/>
    <w:rsid w:val="00401516"/>
    <w:rsid w:val="00401AE1"/>
    <w:rsid w:val="00401B2D"/>
    <w:rsid w:val="00401B4E"/>
    <w:rsid w:val="00401BAF"/>
    <w:rsid w:val="00401D0A"/>
    <w:rsid w:val="00402367"/>
    <w:rsid w:val="00402751"/>
    <w:rsid w:val="00402CCA"/>
    <w:rsid w:val="00402E29"/>
    <w:rsid w:val="0040332D"/>
    <w:rsid w:val="004034EA"/>
    <w:rsid w:val="00403FBD"/>
    <w:rsid w:val="00404038"/>
    <w:rsid w:val="0040481B"/>
    <w:rsid w:val="004049BA"/>
    <w:rsid w:val="0040508C"/>
    <w:rsid w:val="004053CA"/>
    <w:rsid w:val="004055FE"/>
    <w:rsid w:val="00405FF5"/>
    <w:rsid w:val="00407380"/>
    <w:rsid w:val="00407607"/>
    <w:rsid w:val="00407952"/>
    <w:rsid w:val="004111D9"/>
    <w:rsid w:val="004113A7"/>
    <w:rsid w:val="004116E9"/>
    <w:rsid w:val="00411701"/>
    <w:rsid w:val="0041180B"/>
    <w:rsid w:val="004119B2"/>
    <w:rsid w:val="00412139"/>
    <w:rsid w:val="004121D9"/>
    <w:rsid w:val="00412453"/>
    <w:rsid w:val="00412C41"/>
    <w:rsid w:val="00413049"/>
    <w:rsid w:val="004130FA"/>
    <w:rsid w:val="004132C4"/>
    <w:rsid w:val="004138CA"/>
    <w:rsid w:val="00413992"/>
    <w:rsid w:val="00414570"/>
    <w:rsid w:val="004145BD"/>
    <w:rsid w:val="00414D70"/>
    <w:rsid w:val="00414D81"/>
    <w:rsid w:val="00414E36"/>
    <w:rsid w:val="0041510D"/>
    <w:rsid w:val="00415DD7"/>
    <w:rsid w:val="0041620D"/>
    <w:rsid w:val="00416575"/>
    <w:rsid w:val="00416E39"/>
    <w:rsid w:val="00416F85"/>
    <w:rsid w:val="0041716E"/>
    <w:rsid w:val="00417D25"/>
    <w:rsid w:val="00417F86"/>
    <w:rsid w:val="00420279"/>
    <w:rsid w:val="00420438"/>
    <w:rsid w:val="00420CA9"/>
    <w:rsid w:val="00421273"/>
    <w:rsid w:val="004214B0"/>
    <w:rsid w:val="00421966"/>
    <w:rsid w:val="00421CA5"/>
    <w:rsid w:val="00421E23"/>
    <w:rsid w:val="0042230D"/>
    <w:rsid w:val="0042281A"/>
    <w:rsid w:val="0042290C"/>
    <w:rsid w:val="004229BE"/>
    <w:rsid w:val="004229E5"/>
    <w:rsid w:val="004247C0"/>
    <w:rsid w:val="0042484C"/>
    <w:rsid w:val="00424E49"/>
    <w:rsid w:val="00424F3B"/>
    <w:rsid w:val="00425008"/>
    <w:rsid w:val="00425F79"/>
    <w:rsid w:val="0042680F"/>
    <w:rsid w:val="00426840"/>
    <w:rsid w:val="00427BB4"/>
    <w:rsid w:val="00427C06"/>
    <w:rsid w:val="004302B3"/>
    <w:rsid w:val="00430B60"/>
    <w:rsid w:val="0043117F"/>
    <w:rsid w:val="0043130E"/>
    <w:rsid w:val="004315F2"/>
    <w:rsid w:val="00433A99"/>
    <w:rsid w:val="00433DA7"/>
    <w:rsid w:val="004340FE"/>
    <w:rsid w:val="0043497D"/>
    <w:rsid w:val="00434A77"/>
    <w:rsid w:val="00434B45"/>
    <w:rsid w:val="00434B95"/>
    <w:rsid w:val="00434FC2"/>
    <w:rsid w:val="004359AD"/>
    <w:rsid w:val="00435BCF"/>
    <w:rsid w:val="00435D8D"/>
    <w:rsid w:val="00435E6E"/>
    <w:rsid w:val="004369A5"/>
    <w:rsid w:val="00436A51"/>
    <w:rsid w:val="00436A5D"/>
    <w:rsid w:val="00436F67"/>
    <w:rsid w:val="004400D7"/>
    <w:rsid w:val="0044053F"/>
    <w:rsid w:val="00440BB3"/>
    <w:rsid w:val="00440BD5"/>
    <w:rsid w:val="0044164B"/>
    <w:rsid w:val="00442163"/>
    <w:rsid w:val="004425E4"/>
    <w:rsid w:val="00444527"/>
    <w:rsid w:val="00445165"/>
    <w:rsid w:val="00445EED"/>
    <w:rsid w:val="004463CB"/>
    <w:rsid w:val="00447F23"/>
    <w:rsid w:val="00447F7A"/>
    <w:rsid w:val="00450404"/>
    <w:rsid w:val="00450E01"/>
    <w:rsid w:val="004518AF"/>
    <w:rsid w:val="0045201E"/>
    <w:rsid w:val="00452219"/>
    <w:rsid w:val="00452D17"/>
    <w:rsid w:val="00452DC8"/>
    <w:rsid w:val="00452E53"/>
    <w:rsid w:val="00452EC6"/>
    <w:rsid w:val="00453819"/>
    <w:rsid w:val="00453E52"/>
    <w:rsid w:val="00453FDF"/>
    <w:rsid w:val="0045452D"/>
    <w:rsid w:val="00454793"/>
    <w:rsid w:val="00454A8B"/>
    <w:rsid w:val="00454BAC"/>
    <w:rsid w:val="00454E5E"/>
    <w:rsid w:val="00455D0C"/>
    <w:rsid w:val="0045715E"/>
    <w:rsid w:val="00457539"/>
    <w:rsid w:val="004575B2"/>
    <w:rsid w:val="00460550"/>
    <w:rsid w:val="0046085E"/>
    <w:rsid w:val="00460CFC"/>
    <w:rsid w:val="0046132E"/>
    <w:rsid w:val="0046134C"/>
    <w:rsid w:val="00461B23"/>
    <w:rsid w:val="00462D9A"/>
    <w:rsid w:val="00463187"/>
    <w:rsid w:val="00463AB4"/>
    <w:rsid w:val="00465A3C"/>
    <w:rsid w:val="00467737"/>
    <w:rsid w:val="00467D5B"/>
    <w:rsid w:val="004706BE"/>
    <w:rsid w:val="00470EE2"/>
    <w:rsid w:val="004712C8"/>
    <w:rsid w:val="0047134D"/>
    <w:rsid w:val="00471551"/>
    <w:rsid w:val="004718B1"/>
    <w:rsid w:val="004719B3"/>
    <w:rsid w:val="00471C47"/>
    <w:rsid w:val="004726B2"/>
    <w:rsid w:val="004736CA"/>
    <w:rsid w:val="00473912"/>
    <w:rsid w:val="0047452D"/>
    <w:rsid w:val="004747B0"/>
    <w:rsid w:val="004747C1"/>
    <w:rsid w:val="0047507B"/>
    <w:rsid w:val="0047515F"/>
    <w:rsid w:val="0047550E"/>
    <w:rsid w:val="00475A81"/>
    <w:rsid w:val="00475ACF"/>
    <w:rsid w:val="0047698B"/>
    <w:rsid w:val="0047726D"/>
    <w:rsid w:val="00477499"/>
    <w:rsid w:val="00477525"/>
    <w:rsid w:val="00477A8D"/>
    <w:rsid w:val="00477EAA"/>
    <w:rsid w:val="00480116"/>
    <w:rsid w:val="00480271"/>
    <w:rsid w:val="00481CEE"/>
    <w:rsid w:val="00482130"/>
    <w:rsid w:val="004821AB"/>
    <w:rsid w:val="0048230C"/>
    <w:rsid w:val="004828E0"/>
    <w:rsid w:val="004836C1"/>
    <w:rsid w:val="00484133"/>
    <w:rsid w:val="0048443D"/>
    <w:rsid w:val="00484789"/>
    <w:rsid w:val="0048484F"/>
    <w:rsid w:val="00485576"/>
    <w:rsid w:val="0048558E"/>
    <w:rsid w:val="00486543"/>
    <w:rsid w:val="004872F7"/>
    <w:rsid w:val="00487565"/>
    <w:rsid w:val="00487EF5"/>
    <w:rsid w:val="00487F4C"/>
    <w:rsid w:val="00490C67"/>
    <w:rsid w:val="0049113A"/>
    <w:rsid w:val="004916C2"/>
    <w:rsid w:val="00491958"/>
    <w:rsid w:val="00491B69"/>
    <w:rsid w:val="0049251D"/>
    <w:rsid w:val="0049272C"/>
    <w:rsid w:val="004930E3"/>
    <w:rsid w:val="004933BC"/>
    <w:rsid w:val="0049341C"/>
    <w:rsid w:val="004937D2"/>
    <w:rsid w:val="00493D21"/>
    <w:rsid w:val="00493F6A"/>
    <w:rsid w:val="00493FB3"/>
    <w:rsid w:val="00494029"/>
    <w:rsid w:val="004942D6"/>
    <w:rsid w:val="004945BC"/>
    <w:rsid w:val="00494A57"/>
    <w:rsid w:val="00494E6F"/>
    <w:rsid w:val="00495320"/>
    <w:rsid w:val="00495376"/>
    <w:rsid w:val="00495629"/>
    <w:rsid w:val="00496798"/>
    <w:rsid w:val="004967D1"/>
    <w:rsid w:val="00496C41"/>
    <w:rsid w:val="00496EEE"/>
    <w:rsid w:val="00497DCB"/>
    <w:rsid w:val="004A0049"/>
    <w:rsid w:val="004A08BB"/>
    <w:rsid w:val="004A0C4D"/>
    <w:rsid w:val="004A0C95"/>
    <w:rsid w:val="004A0D2F"/>
    <w:rsid w:val="004A0D38"/>
    <w:rsid w:val="004A13E4"/>
    <w:rsid w:val="004A1766"/>
    <w:rsid w:val="004A220E"/>
    <w:rsid w:val="004A246F"/>
    <w:rsid w:val="004A2992"/>
    <w:rsid w:val="004A2B82"/>
    <w:rsid w:val="004A2B9D"/>
    <w:rsid w:val="004A3505"/>
    <w:rsid w:val="004A3CA9"/>
    <w:rsid w:val="004A422D"/>
    <w:rsid w:val="004A43D4"/>
    <w:rsid w:val="004A45D9"/>
    <w:rsid w:val="004A480B"/>
    <w:rsid w:val="004A497F"/>
    <w:rsid w:val="004A4AE4"/>
    <w:rsid w:val="004A53EC"/>
    <w:rsid w:val="004A58B2"/>
    <w:rsid w:val="004A5B1F"/>
    <w:rsid w:val="004A5D75"/>
    <w:rsid w:val="004A5DC4"/>
    <w:rsid w:val="004A69ED"/>
    <w:rsid w:val="004A69FD"/>
    <w:rsid w:val="004A6C22"/>
    <w:rsid w:val="004A75FB"/>
    <w:rsid w:val="004A767C"/>
    <w:rsid w:val="004B009B"/>
    <w:rsid w:val="004B00EF"/>
    <w:rsid w:val="004B01B9"/>
    <w:rsid w:val="004B03E0"/>
    <w:rsid w:val="004B05AC"/>
    <w:rsid w:val="004B0604"/>
    <w:rsid w:val="004B0823"/>
    <w:rsid w:val="004B0915"/>
    <w:rsid w:val="004B0996"/>
    <w:rsid w:val="004B0D4A"/>
    <w:rsid w:val="004B0D99"/>
    <w:rsid w:val="004B0EAA"/>
    <w:rsid w:val="004B11F5"/>
    <w:rsid w:val="004B16FF"/>
    <w:rsid w:val="004B1B9D"/>
    <w:rsid w:val="004B1D31"/>
    <w:rsid w:val="004B1F2E"/>
    <w:rsid w:val="004B2998"/>
    <w:rsid w:val="004B2BB7"/>
    <w:rsid w:val="004B3875"/>
    <w:rsid w:val="004B3C02"/>
    <w:rsid w:val="004B419A"/>
    <w:rsid w:val="004B427C"/>
    <w:rsid w:val="004B42BD"/>
    <w:rsid w:val="004B4D77"/>
    <w:rsid w:val="004B579F"/>
    <w:rsid w:val="004B62FF"/>
    <w:rsid w:val="004B646D"/>
    <w:rsid w:val="004B6558"/>
    <w:rsid w:val="004B65AF"/>
    <w:rsid w:val="004B67D7"/>
    <w:rsid w:val="004B6931"/>
    <w:rsid w:val="004B6BB6"/>
    <w:rsid w:val="004B6D84"/>
    <w:rsid w:val="004B6F3E"/>
    <w:rsid w:val="004B7917"/>
    <w:rsid w:val="004C02DF"/>
    <w:rsid w:val="004C05E1"/>
    <w:rsid w:val="004C071A"/>
    <w:rsid w:val="004C1473"/>
    <w:rsid w:val="004C196C"/>
    <w:rsid w:val="004C2068"/>
    <w:rsid w:val="004C230B"/>
    <w:rsid w:val="004C2408"/>
    <w:rsid w:val="004C25E4"/>
    <w:rsid w:val="004C2718"/>
    <w:rsid w:val="004C3375"/>
    <w:rsid w:val="004C4347"/>
    <w:rsid w:val="004C46A7"/>
    <w:rsid w:val="004C4B1A"/>
    <w:rsid w:val="004C5CE2"/>
    <w:rsid w:val="004C6BA7"/>
    <w:rsid w:val="004C707B"/>
    <w:rsid w:val="004C74D1"/>
    <w:rsid w:val="004C7B65"/>
    <w:rsid w:val="004C7B99"/>
    <w:rsid w:val="004D05E0"/>
    <w:rsid w:val="004D0904"/>
    <w:rsid w:val="004D1408"/>
    <w:rsid w:val="004D155D"/>
    <w:rsid w:val="004D1703"/>
    <w:rsid w:val="004D17D9"/>
    <w:rsid w:val="004D1961"/>
    <w:rsid w:val="004D1DE4"/>
    <w:rsid w:val="004D2175"/>
    <w:rsid w:val="004D2284"/>
    <w:rsid w:val="004D26C1"/>
    <w:rsid w:val="004D271E"/>
    <w:rsid w:val="004D2B5F"/>
    <w:rsid w:val="004D31D7"/>
    <w:rsid w:val="004D34F8"/>
    <w:rsid w:val="004D3580"/>
    <w:rsid w:val="004D4250"/>
    <w:rsid w:val="004D4254"/>
    <w:rsid w:val="004D43F1"/>
    <w:rsid w:val="004D49BE"/>
    <w:rsid w:val="004D4CC1"/>
    <w:rsid w:val="004D4CC6"/>
    <w:rsid w:val="004D5D9D"/>
    <w:rsid w:val="004D5E9F"/>
    <w:rsid w:val="004D69E4"/>
    <w:rsid w:val="004D6A62"/>
    <w:rsid w:val="004D6D94"/>
    <w:rsid w:val="004D73AE"/>
    <w:rsid w:val="004D7AC5"/>
    <w:rsid w:val="004E016D"/>
    <w:rsid w:val="004E02B4"/>
    <w:rsid w:val="004E0BCA"/>
    <w:rsid w:val="004E1634"/>
    <w:rsid w:val="004E1840"/>
    <w:rsid w:val="004E2044"/>
    <w:rsid w:val="004E2307"/>
    <w:rsid w:val="004E2924"/>
    <w:rsid w:val="004E2D7D"/>
    <w:rsid w:val="004E3450"/>
    <w:rsid w:val="004E4102"/>
    <w:rsid w:val="004E4433"/>
    <w:rsid w:val="004E4D06"/>
    <w:rsid w:val="004E6235"/>
    <w:rsid w:val="004E6359"/>
    <w:rsid w:val="004E65B3"/>
    <w:rsid w:val="004F057C"/>
    <w:rsid w:val="004F18F2"/>
    <w:rsid w:val="004F1A58"/>
    <w:rsid w:val="004F1A74"/>
    <w:rsid w:val="004F25C9"/>
    <w:rsid w:val="004F2838"/>
    <w:rsid w:val="004F30DC"/>
    <w:rsid w:val="004F3293"/>
    <w:rsid w:val="004F35BF"/>
    <w:rsid w:val="004F3DFE"/>
    <w:rsid w:val="004F4225"/>
    <w:rsid w:val="004F57A3"/>
    <w:rsid w:val="004F5C23"/>
    <w:rsid w:val="004F65BD"/>
    <w:rsid w:val="004F6F05"/>
    <w:rsid w:val="004F718B"/>
    <w:rsid w:val="004F72AF"/>
    <w:rsid w:val="004F7470"/>
    <w:rsid w:val="00500CB7"/>
    <w:rsid w:val="00500CEF"/>
    <w:rsid w:val="00501B76"/>
    <w:rsid w:val="005021FF"/>
    <w:rsid w:val="0050337B"/>
    <w:rsid w:val="00503570"/>
    <w:rsid w:val="005036B0"/>
    <w:rsid w:val="005039F2"/>
    <w:rsid w:val="00503D90"/>
    <w:rsid w:val="00503E79"/>
    <w:rsid w:val="00504EA3"/>
    <w:rsid w:val="00504F0E"/>
    <w:rsid w:val="00505314"/>
    <w:rsid w:val="005055DB"/>
    <w:rsid w:val="0050583C"/>
    <w:rsid w:val="005059E9"/>
    <w:rsid w:val="005067A5"/>
    <w:rsid w:val="0050702F"/>
    <w:rsid w:val="00507DF7"/>
    <w:rsid w:val="00510177"/>
    <w:rsid w:val="00510CF6"/>
    <w:rsid w:val="00511952"/>
    <w:rsid w:val="00511F4C"/>
    <w:rsid w:val="005121B3"/>
    <w:rsid w:val="005121E3"/>
    <w:rsid w:val="00512940"/>
    <w:rsid w:val="00512C8F"/>
    <w:rsid w:val="00512FA3"/>
    <w:rsid w:val="0051329D"/>
    <w:rsid w:val="0051338B"/>
    <w:rsid w:val="00514473"/>
    <w:rsid w:val="005149DC"/>
    <w:rsid w:val="00514EFE"/>
    <w:rsid w:val="00514F50"/>
    <w:rsid w:val="00515A6F"/>
    <w:rsid w:val="005160F0"/>
    <w:rsid w:val="00516242"/>
    <w:rsid w:val="00516780"/>
    <w:rsid w:val="00516A2A"/>
    <w:rsid w:val="00516B96"/>
    <w:rsid w:val="00516C56"/>
    <w:rsid w:val="00516F30"/>
    <w:rsid w:val="00516FA0"/>
    <w:rsid w:val="005206C0"/>
    <w:rsid w:val="005214AF"/>
    <w:rsid w:val="00521910"/>
    <w:rsid w:val="00522188"/>
    <w:rsid w:val="0052229A"/>
    <w:rsid w:val="00522A24"/>
    <w:rsid w:val="0052311A"/>
    <w:rsid w:val="00523514"/>
    <w:rsid w:val="00523537"/>
    <w:rsid w:val="00523A16"/>
    <w:rsid w:val="00523D0B"/>
    <w:rsid w:val="00523D6D"/>
    <w:rsid w:val="005242B5"/>
    <w:rsid w:val="00524713"/>
    <w:rsid w:val="00525080"/>
    <w:rsid w:val="005250CF"/>
    <w:rsid w:val="00525656"/>
    <w:rsid w:val="00525E04"/>
    <w:rsid w:val="00525E60"/>
    <w:rsid w:val="005260BE"/>
    <w:rsid w:val="005263BC"/>
    <w:rsid w:val="0052665A"/>
    <w:rsid w:val="00526812"/>
    <w:rsid w:val="005270BA"/>
    <w:rsid w:val="00527361"/>
    <w:rsid w:val="00527493"/>
    <w:rsid w:val="00527DBF"/>
    <w:rsid w:val="005300F1"/>
    <w:rsid w:val="005305D5"/>
    <w:rsid w:val="00530AAC"/>
    <w:rsid w:val="00530AD3"/>
    <w:rsid w:val="00531C67"/>
    <w:rsid w:val="00531D1A"/>
    <w:rsid w:val="00531DD4"/>
    <w:rsid w:val="00531F6E"/>
    <w:rsid w:val="00531FA5"/>
    <w:rsid w:val="00532363"/>
    <w:rsid w:val="00532ACA"/>
    <w:rsid w:val="00532BA2"/>
    <w:rsid w:val="00532FE0"/>
    <w:rsid w:val="00533988"/>
    <w:rsid w:val="00533E8A"/>
    <w:rsid w:val="0053448C"/>
    <w:rsid w:val="00534509"/>
    <w:rsid w:val="00534BE6"/>
    <w:rsid w:val="00534C60"/>
    <w:rsid w:val="00534C88"/>
    <w:rsid w:val="0053510B"/>
    <w:rsid w:val="00535111"/>
    <w:rsid w:val="005354E3"/>
    <w:rsid w:val="00535D11"/>
    <w:rsid w:val="00536B33"/>
    <w:rsid w:val="00537866"/>
    <w:rsid w:val="00540283"/>
    <w:rsid w:val="00540A73"/>
    <w:rsid w:val="00540DEC"/>
    <w:rsid w:val="00540E74"/>
    <w:rsid w:val="005412C7"/>
    <w:rsid w:val="00541541"/>
    <w:rsid w:val="00541B49"/>
    <w:rsid w:val="005421C3"/>
    <w:rsid w:val="00542392"/>
    <w:rsid w:val="0054272A"/>
    <w:rsid w:val="005429A4"/>
    <w:rsid w:val="00543748"/>
    <w:rsid w:val="00543A03"/>
    <w:rsid w:val="005444E7"/>
    <w:rsid w:val="00544793"/>
    <w:rsid w:val="005455E2"/>
    <w:rsid w:val="005458EF"/>
    <w:rsid w:val="00546313"/>
    <w:rsid w:val="0054699C"/>
    <w:rsid w:val="00546D74"/>
    <w:rsid w:val="00546E47"/>
    <w:rsid w:val="00547B9D"/>
    <w:rsid w:val="00550532"/>
    <w:rsid w:val="00550753"/>
    <w:rsid w:val="005507A5"/>
    <w:rsid w:val="005510F1"/>
    <w:rsid w:val="0055130C"/>
    <w:rsid w:val="00551458"/>
    <w:rsid w:val="005522EC"/>
    <w:rsid w:val="005527A5"/>
    <w:rsid w:val="00552F32"/>
    <w:rsid w:val="005532D8"/>
    <w:rsid w:val="00553791"/>
    <w:rsid w:val="00553873"/>
    <w:rsid w:val="00554D88"/>
    <w:rsid w:val="00555217"/>
    <w:rsid w:val="005552AA"/>
    <w:rsid w:val="00555929"/>
    <w:rsid w:val="00555C6A"/>
    <w:rsid w:val="00555E42"/>
    <w:rsid w:val="0055620A"/>
    <w:rsid w:val="005562C1"/>
    <w:rsid w:val="0055644F"/>
    <w:rsid w:val="00556729"/>
    <w:rsid w:val="00556FDB"/>
    <w:rsid w:val="00557050"/>
    <w:rsid w:val="00557A37"/>
    <w:rsid w:val="00557AA2"/>
    <w:rsid w:val="00557F8B"/>
    <w:rsid w:val="0056048E"/>
    <w:rsid w:val="00560D25"/>
    <w:rsid w:val="0056133A"/>
    <w:rsid w:val="005613DB"/>
    <w:rsid w:val="00561813"/>
    <w:rsid w:val="005618B4"/>
    <w:rsid w:val="00562290"/>
    <w:rsid w:val="00562740"/>
    <w:rsid w:val="00562B33"/>
    <w:rsid w:val="00562CFC"/>
    <w:rsid w:val="00564554"/>
    <w:rsid w:val="0056456A"/>
    <w:rsid w:val="00564E55"/>
    <w:rsid w:val="00564F0A"/>
    <w:rsid w:val="005662C3"/>
    <w:rsid w:val="00566EB3"/>
    <w:rsid w:val="00566F95"/>
    <w:rsid w:val="00567D24"/>
    <w:rsid w:val="00567F22"/>
    <w:rsid w:val="00570CDE"/>
    <w:rsid w:val="0057126C"/>
    <w:rsid w:val="00571394"/>
    <w:rsid w:val="005715D5"/>
    <w:rsid w:val="005716D0"/>
    <w:rsid w:val="00571716"/>
    <w:rsid w:val="005725E9"/>
    <w:rsid w:val="00572A76"/>
    <w:rsid w:val="00572C77"/>
    <w:rsid w:val="00574171"/>
    <w:rsid w:val="0057420C"/>
    <w:rsid w:val="0057429C"/>
    <w:rsid w:val="00574690"/>
    <w:rsid w:val="0057480B"/>
    <w:rsid w:val="00575597"/>
    <w:rsid w:val="005759AD"/>
    <w:rsid w:val="00575CE7"/>
    <w:rsid w:val="00576DC2"/>
    <w:rsid w:val="0057771D"/>
    <w:rsid w:val="005805AF"/>
    <w:rsid w:val="00580BC3"/>
    <w:rsid w:val="00580E12"/>
    <w:rsid w:val="00580EB3"/>
    <w:rsid w:val="0058122A"/>
    <w:rsid w:val="005819D8"/>
    <w:rsid w:val="00581D4F"/>
    <w:rsid w:val="00582C74"/>
    <w:rsid w:val="00583020"/>
    <w:rsid w:val="0058309D"/>
    <w:rsid w:val="00583436"/>
    <w:rsid w:val="0058343F"/>
    <w:rsid w:val="00583A31"/>
    <w:rsid w:val="005843E8"/>
    <w:rsid w:val="0058520A"/>
    <w:rsid w:val="00585367"/>
    <w:rsid w:val="00586471"/>
    <w:rsid w:val="0058658C"/>
    <w:rsid w:val="00586684"/>
    <w:rsid w:val="00587936"/>
    <w:rsid w:val="00590526"/>
    <w:rsid w:val="00590B6A"/>
    <w:rsid w:val="0059151B"/>
    <w:rsid w:val="00591614"/>
    <w:rsid w:val="00591DA2"/>
    <w:rsid w:val="00591EE7"/>
    <w:rsid w:val="00591F09"/>
    <w:rsid w:val="00591F3A"/>
    <w:rsid w:val="00592578"/>
    <w:rsid w:val="00592982"/>
    <w:rsid w:val="00592C15"/>
    <w:rsid w:val="005931C6"/>
    <w:rsid w:val="0059454E"/>
    <w:rsid w:val="005945D3"/>
    <w:rsid w:val="00594A73"/>
    <w:rsid w:val="00595907"/>
    <w:rsid w:val="0059634E"/>
    <w:rsid w:val="00596E15"/>
    <w:rsid w:val="00596E42"/>
    <w:rsid w:val="0059745F"/>
    <w:rsid w:val="00597749"/>
    <w:rsid w:val="00597AC9"/>
    <w:rsid w:val="00597EC8"/>
    <w:rsid w:val="00597FCD"/>
    <w:rsid w:val="005A0539"/>
    <w:rsid w:val="005A070E"/>
    <w:rsid w:val="005A072E"/>
    <w:rsid w:val="005A097F"/>
    <w:rsid w:val="005A202B"/>
    <w:rsid w:val="005A2230"/>
    <w:rsid w:val="005A258D"/>
    <w:rsid w:val="005A25C8"/>
    <w:rsid w:val="005A2CBE"/>
    <w:rsid w:val="005A3620"/>
    <w:rsid w:val="005A3C87"/>
    <w:rsid w:val="005A3CD1"/>
    <w:rsid w:val="005A3E33"/>
    <w:rsid w:val="005A3E57"/>
    <w:rsid w:val="005A409E"/>
    <w:rsid w:val="005A5106"/>
    <w:rsid w:val="005A6047"/>
    <w:rsid w:val="005A62D1"/>
    <w:rsid w:val="005A6A90"/>
    <w:rsid w:val="005A7745"/>
    <w:rsid w:val="005A7D5B"/>
    <w:rsid w:val="005A7DF6"/>
    <w:rsid w:val="005A7EE7"/>
    <w:rsid w:val="005B0428"/>
    <w:rsid w:val="005B07D3"/>
    <w:rsid w:val="005B1B21"/>
    <w:rsid w:val="005B1CF6"/>
    <w:rsid w:val="005B1EBB"/>
    <w:rsid w:val="005B2596"/>
    <w:rsid w:val="005B2C8D"/>
    <w:rsid w:val="005B34AB"/>
    <w:rsid w:val="005B40ED"/>
    <w:rsid w:val="005B4219"/>
    <w:rsid w:val="005B4437"/>
    <w:rsid w:val="005B5283"/>
    <w:rsid w:val="005B5E09"/>
    <w:rsid w:val="005B61C2"/>
    <w:rsid w:val="005B6E64"/>
    <w:rsid w:val="005B7887"/>
    <w:rsid w:val="005B7A0A"/>
    <w:rsid w:val="005B7C8C"/>
    <w:rsid w:val="005C0747"/>
    <w:rsid w:val="005C08F9"/>
    <w:rsid w:val="005C0AE0"/>
    <w:rsid w:val="005C1084"/>
    <w:rsid w:val="005C14A7"/>
    <w:rsid w:val="005C18E9"/>
    <w:rsid w:val="005C1ADD"/>
    <w:rsid w:val="005C1C97"/>
    <w:rsid w:val="005C1DB1"/>
    <w:rsid w:val="005C23C9"/>
    <w:rsid w:val="005C2691"/>
    <w:rsid w:val="005C2849"/>
    <w:rsid w:val="005C3D51"/>
    <w:rsid w:val="005C43A4"/>
    <w:rsid w:val="005C4488"/>
    <w:rsid w:val="005C4CE8"/>
    <w:rsid w:val="005C5024"/>
    <w:rsid w:val="005C554D"/>
    <w:rsid w:val="005C5BFD"/>
    <w:rsid w:val="005C6190"/>
    <w:rsid w:val="005C648E"/>
    <w:rsid w:val="005C6845"/>
    <w:rsid w:val="005C6CFD"/>
    <w:rsid w:val="005D14A6"/>
    <w:rsid w:val="005D17CA"/>
    <w:rsid w:val="005D18A5"/>
    <w:rsid w:val="005D1988"/>
    <w:rsid w:val="005D24F9"/>
    <w:rsid w:val="005D2A5F"/>
    <w:rsid w:val="005D2A94"/>
    <w:rsid w:val="005D2F20"/>
    <w:rsid w:val="005D3102"/>
    <w:rsid w:val="005D3525"/>
    <w:rsid w:val="005D3DD6"/>
    <w:rsid w:val="005D4874"/>
    <w:rsid w:val="005D5776"/>
    <w:rsid w:val="005D5DF0"/>
    <w:rsid w:val="005D5E49"/>
    <w:rsid w:val="005D6839"/>
    <w:rsid w:val="005D6878"/>
    <w:rsid w:val="005D7085"/>
    <w:rsid w:val="005D71F6"/>
    <w:rsid w:val="005D7360"/>
    <w:rsid w:val="005D77D7"/>
    <w:rsid w:val="005E001D"/>
    <w:rsid w:val="005E0415"/>
    <w:rsid w:val="005E04FB"/>
    <w:rsid w:val="005E06B1"/>
    <w:rsid w:val="005E136A"/>
    <w:rsid w:val="005E1422"/>
    <w:rsid w:val="005E1798"/>
    <w:rsid w:val="005E1CD8"/>
    <w:rsid w:val="005E22BD"/>
    <w:rsid w:val="005E3617"/>
    <w:rsid w:val="005E379D"/>
    <w:rsid w:val="005E3DC4"/>
    <w:rsid w:val="005E4785"/>
    <w:rsid w:val="005E4B80"/>
    <w:rsid w:val="005E4CF7"/>
    <w:rsid w:val="005E5118"/>
    <w:rsid w:val="005E5664"/>
    <w:rsid w:val="005E5823"/>
    <w:rsid w:val="005E5F86"/>
    <w:rsid w:val="005E64B4"/>
    <w:rsid w:val="005E6706"/>
    <w:rsid w:val="005E6A37"/>
    <w:rsid w:val="005E79B1"/>
    <w:rsid w:val="005E7CBE"/>
    <w:rsid w:val="005F11C7"/>
    <w:rsid w:val="005F136A"/>
    <w:rsid w:val="005F14ED"/>
    <w:rsid w:val="005F2099"/>
    <w:rsid w:val="005F308F"/>
    <w:rsid w:val="005F332D"/>
    <w:rsid w:val="005F4509"/>
    <w:rsid w:val="005F577A"/>
    <w:rsid w:val="005F6442"/>
    <w:rsid w:val="005F64A3"/>
    <w:rsid w:val="005F67F9"/>
    <w:rsid w:val="005F7135"/>
    <w:rsid w:val="005F72A3"/>
    <w:rsid w:val="005F76A1"/>
    <w:rsid w:val="005F79F9"/>
    <w:rsid w:val="005F7E7C"/>
    <w:rsid w:val="006001B0"/>
    <w:rsid w:val="006010F6"/>
    <w:rsid w:val="00601223"/>
    <w:rsid w:val="00601708"/>
    <w:rsid w:val="00601E65"/>
    <w:rsid w:val="00602122"/>
    <w:rsid w:val="00602331"/>
    <w:rsid w:val="0060248E"/>
    <w:rsid w:val="00602521"/>
    <w:rsid w:val="00602526"/>
    <w:rsid w:val="0060268B"/>
    <w:rsid w:val="006026F4"/>
    <w:rsid w:val="0060339D"/>
    <w:rsid w:val="006048C3"/>
    <w:rsid w:val="00604E31"/>
    <w:rsid w:val="0060536D"/>
    <w:rsid w:val="00605FC4"/>
    <w:rsid w:val="006070E8"/>
    <w:rsid w:val="006104EC"/>
    <w:rsid w:val="0061119B"/>
    <w:rsid w:val="00611547"/>
    <w:rsid w:val="006118BC"/>
    <w:rsid w:val="00611B99"/>
    <w:rsid w:val="00612122"/>
    <w:rsid w:val="00612DDB"/>
    <w:rsid w:val="00612EB0"/>
    <w:rsid w:val="00613F1D"/>
    <w:rsid w:val="006142ED"/>
    <w:rsid w:val="00614F2B"/>
    <w:rsid w:val="00614FDF"/>
    <w:rsid w:val="006156F2"/>
    <w:rsid w:val="0061644F"/>
    <w:rsid w:val="0061710C"/>
    <w:rsid w:val="00617145"/>
    <w:rsid w:val="006175B6"/>
    <w:rsid w:val="00617896"/>
    <w:rsid w:val="00617A39"/>
    <w:rsid w:val="006204DB"/>
    <w:rsid w:val="00621FAF"/>
    <w:rsid w:val="00622066"/>
    <w:rsid w:val="0062210E"/>
    <w:rsid w:val="00622BBC"/>
    <w:rsid w:val="00622C82"/>
    <w:rsid w:val="00623191"/>
    <w:rsid w:val="006234DE"/>
    <w:rsid w:val="0062371B"/>
    <w:rsid w:val="006239C0"/>
    <w:rsid w:val="00623D44"/>
    <w:rsid w:val="0062403F"/>
    <w:rsid w:val="00624578"/>
    <w:rsid w:val="006249EA"/>
    <w:rsid w:val="00624CA1"/>
    <w:rsid w:val="0062525B"/>
    <w:rsid w:val="0062542C"/>
    <w:rsid w:val="006256D8"/>
    <w:rsid w:val="00625E99"/>
    <w:rsid w:val="00625ECB"/>
    <w:rsid w:val="00625EFC"/>
    <w:rsid w:val="00625F59"/>
    <w:rsid w:val="006267A0"/>
    <w:rsid w:val="006268AB"/>
    <w:rsid w:val="00626EE1"/>
    <w:rsid w:val="006270DB"/>
    <w:rsid w:val="00627600"/>
    <w:rsid w:val="006302F5"/>
    <w:rsid w:val="0063058C"/>
    <w:rsid w:val="00631C3A"/>
    <w:rsid w:val="00632089"/>
    <w:rsid w:val="006321B0"/>
    <w:rsid w:val="00632E81"/>
    <w:rsid w:val="00633451"/>
    <w:rsid w:val="0063390D"/>
    <w:rsid w:val="00633CD3"/>
    <w:rsid w:val="006341B9"/>
    <w:rsid w:val="00634AC7"/>
    <w:rsid w:val="00634BA4"/>
    <w:rsid w:val="006354A2"/>
    <w:rsid w:val="0063582F"/>
    <w:rsid w:val="006364A7"/>
    <w:rsid w:val="0063728B"/>
    <w:rsid w:val="00637422"/>
    <w:rsid w:val="00637692"/>
    <w:rsid w:val="0063795B"/>
    <w:rsid w:val="006400EE"/>
    <w:rsid w:val="00640D06"/>
    <w:rsid w:val="00640E7F"/>
    <w:rsid w:val="006412C0"/>
    <w:rsid w:val="006412FC"/>
    <w:rsid w:val="00641C02"/>
    <w:rsid w:val="0064240C"/>
    <w:rsid w:val="00642867"/>
    <w:rsid w:val="006429B2"/>
    <w:rsid w:val="00642FBD"/>
    <w:rsid w:val="0064352B"/>
    <w:rsid w:val="006444B1"/>
    <w:rsid w:val="00644FAE"/>
    <w:rsid w:val="00645E7A"/>
    <w:rsid w:val="0064715F"/>
    <w:rsid w:val="00647822"/>
    <w:rsid w:val="00647974"/>
    <w:rsid w:val="00647E24"/>
    <w:rsid w:val="0065049E"/>
    <w:rsid w:val="00650B35"/>
    <w:rsid w:val="00650DF1"/>
    <w:rsid w:val="006511AB"/>
    <w:rsid w:val="0065216A"/>
    <w:rsid w:val="006523FF"/>
    <w:rsid w:val="00652566"/>
    <w:rsid w:val="00652977"/>
    <w:rsid w:val="00652D18"/>
    <w:rsid w:val="0065306B"/>
    <w:rsid w:val="00653422"/>
    <w:rsid w:val="006537FF"/>
    <w:rsid w:val="00653B56"/>
    <w:rsid w:val="00654005"/>
    <w:rsid w:val="00654579"/>
    <w:rsid w:val="00654839"/>
    <w:rsid w:val="00654EAE"/>
    <w:rsid w:val="00654FF7"/>
    <w:rsid w:val="006550E4"/>
    <w:rsid w:val="006554B8"/>
    <w:rsid w:val="006557E9"/>
    <w:rsid w:val="00656047"/>
    <w:rsid w:val="006565AA"/>
    <w:rsid w:val="00657853"/>
    <w:rsid w:val="00657949"/>
    <w:rsid w:val="00657DB8"/>
    <w:rsid w:val="006602BD"/>
    <w:rsid w:val="006615D7"/>
    <w:rsid w:val="00661C33"/>
    <w:rsid w:val="00661D16"/>
    <w:rsid w:val="00661DDD"/>
    <w:rsid w:val="00661EDB"/>
    <w:rsid w:val="00661F14"/>
    <w:rsid w:val="00662507"/>
    <w:rsid w:val="006629AA"/>
    <w:rsid w:val="00662AEA"/>
    <w:rsid w:val="006636AE"/>
    <w:rsid w:val="00663853"/>
    <w:rsid w:val="0066388E"/>
    <w:rsid w:val="00663B40"/>
    <w:rsid w:val="00663B9E"/>
    <w:rsid w:val="00663E9F"/>
    <w:rsid w:val="006640AB"/>
    <w:rsid w:val="006646F9"/>
    <w:rsid w:val="006651C9"/>
    <w:rsid w:val="00665230"/>
    <w:rsid w:val="006655FA"/>
    <w:rsid w:val="006656C0"/>
    <w:rsid w:val="00665B44"/>
    <w:rsid w:val="00665D31"/>
    <w:rsid w:val="006664E0"/>
    <w:rsid w:val="006668D9"/>
    <w:rsid w:val="00666CC6"/>
    <w:rsid w:val="00666E81"/>
    <w:rsid w:val="00667120"/>
    <w:rsid w:val="006677F6"/>
    <w:rsid w:val="00667B84"/>
    <w:rsid w:val="0067040A"/>
    <w:rsid w:val="00670419"/>
    <w:rsid w:val="00670E68"/>
    <w:rsid w:val="00671520"/>
    <w:rsid w:val="006719F5"/>
    <w:rsid w:val="006722C6"/>
    <w:rsid w:val="00672305"/>
    <w:rsid w:val="006729A2"/>
    <w:rsid w:val="006729E8"/>
    <w:rsid w:val="00672BDB"/>
    <w:rsid w:val="00672F35"/>
    <w:rsid w:val="00673507"/>
    <w:rsid w:val="00674857"/>
    <w:rsid w:val="0067526B"/>
    <w:rsid w:val="00675B7D"/>
    <w:rsid w:val="00675F24"/>
    <w:rsid w:val="00676291"/>
    <w:rsid w:val="00676B68"/>
    <w:rsid w:val="0067725C"/>
    <w:rsid w:val="00677406"/>
    <w:rsid w:val="0067796C"/>
    <w:rsid w:val="00677CCE"/>
    <w:rsid w:val="006800D6"/>
    <w:rsid w:val="00680F0A"/>
    <w:rsid w:val="006810EB"/>
    <w:rsid w:val="006811C1"/>
    <w:rsid w:val="0068175C"/>
    <w:rsid w:val="00681FB6"/>
    <w:rsid w:val="0068206A"/>
    <w:rsid w:val="006825C7"/>
    <w:rsid w:val="00682626"/>
    <w:rsid w:val="0068294D"/>
    <w:rsid w:val="006839F9"/>
    <w:rsid w:val="00683C36"/>
    <w:rsid w:val="006845D1"/>
    <w:rsid w:val="00685914"/>
    <w:rsid w:val="00685A0B"/>
    <w:rsid w:val="00685D71"/>
    <w:rsid w:val="006876BA"/>
    <w:rsid w:val="006879EC"/>
    <w:rsid w:val="00687A72"/>
    <w:rsid w:val="00687E46"/>
    <w:rsid w:val="00687F28"/>
    <w:rsid w:val="0069042E"/>
    <w:rsid w:val="00690D93"/>
    <w:rsid w:val="00691D2C"/>
    <w:rsid w:val="00691F75"/>
    <w:rsid w:val="0069241C"/>
    <w:rsid w:val="00693D39"/>
    <w:rsid w:val="00693E6B"/>
    <w:rsid w:val="00694259"/>
    <w:rsid w:val="006945C5"/>
    <w:rsid w:val="006946BA"/>
    <w:rsid w:val="00694A5A"/>
    <w:rsid w:val="00694F79"/>
    <w:rsid w:val="006958E1"/>
    <w:rsid w:val="00695C3C"/>
    <w:rsid w:val="00695C52"/>
    <w:rsid w:val="00696190"/>
    <w:rsid w:val="00696378"/>
    <w:rsid w:val="006967A3"/>
    <w:rsid w:val="00696B35"/>
    <w:rsid w:val="00697697"/>
    <w:rsid w:val="0069792A"/>
    <w:rsid w:val="00697BAE"/>
    <w:rsid w:val="00697D23"/>
    <w:rsid w:val="006A0828"/>
    <w:rsid w:val="006A0E25"/>
    <w:rsid w:val="006A1778"/>
    <w:rsid w:val="006A1AA7"/>
    <w:rsid w:val="006A1C81"/>
    <w:rsid w:val="006A2056"/>
    <w:rsid w:val="006A22CA"/>
    <w:rsid w:val="006A25E0"/>
    <w:rsid w:val="006A2A54"/>
    <w:rsid w:val="006A3BF3"/>
    <w:rsid w:val="006A4AF4"/>
    <w:rsid w:val="006A5409"/>
    <w:rsid w:val="006A56AB"/>
    <w:rsid w:val="006A5991"/>
    <w:rsid w:val="006A5A29"/>
    <w:rsid w:val="006A5FEE"/>
    <w:rsid w:val="006A6E62"/>
    <w:rsid w:val="006A6ED5"/>
    <w:rsid w:val="006A75CD"/>
    <w:rsid w:val="006A7DA7"/>
    <w:rsid w:val="006B0412"/>
    <w:rsid w:val="006B0CB4"/>
    <w:rsid w:val="006B0DF7"/>
    <w:rsid w:val="006B0E04"/>
    <w:rsid w:val="006B10A3"/>
    <w:rsid w:val="006B18C6"/>
    <w:rsid w:val="006B21C9"/>
    <w:rsid w:val="006B263E"/>
    <w:rsid w:val="006B27E1"/>
    <w:rsid w:val="006B298C"/>
    <w:rsid w:val="006B3080"/>
    <w:rsid w:val="006B327A"/>
    <w:rsid w:val="006B3623"/>
    <w:rsid w:val="006B3C11"/>
    <w:rsid w:val="006B42C6"/>
    <w:rsid w:val="006B4CB5"/>
    <w:rsid w:val="006B4E27"/>
    <w:rsid w:val="006B5031"/>
    <w:rsid w:val="006B5B7A"/>
    <w:rsid w:val="006B5D1D"/>
    <w:rsid w:val="006B62BE"/>
    <w:rsid w:val="006B6313"/>
    <w:rsid w:val="006B64AB"/>
    <w:rsid w:val="006B6F23"/>
    <w:rsid w:val="006B7E17"/>
    <w:rsid w:val="006C0001"/>
    <w:rsid w:val="006C0470"/>
    <w:rsid w:val="006C0936"/>
    <w:rsid w:val="006C12FE"/>
    <w:rsid w:val="006C150E"/>
    <w:rsid w:val="006C1FB7"/>
    <w:rsid w:val="006C23B9"/>
    <w:rsid w:val="006C2BE8"/>
    <w:rsid w:val="006C2CF8"/>
    <w:rsid w:val="006C3013"/>
    <w:rsid w:val="006C3021"/>
    <w:rsid w:val="006C32E5"/>
    <w:rsid w:val="006C3431"/>
    <w:rsid w:val="006C3E4C"/>
    <w:rsid w:val="006C3F3F"/>
    <w:rsid w:val="006C468B"/>
    <w:rsid w:val="006C4985"/>
    <w:rsid w:val="006C50BB"/>
    <w:rsid w:val="006C5540"/>
    <w:rsid w:val="006C558C"/>
    <w:rsid w:val="006C5E30"/>
    <w:rsid w:val="006C5ED7"/>
    <w:rsid w:val="006C636D"/>
    <w:rsid w:val="006C64E8"/>
    <w:rsid w:val="006C66FB"/>
    <w:rsid w:val="006C6B6A"/>
    <w:rsid w:val="006C6CF3"/>
    <w:rsid w:val="006C6FA3"/>
    <w:rsid w:val="006C7604"/>
    <w:rsid w:val="006C7E42"/>
    <w:rsid w:val="006D0234"/>
    <w:rsid w:val="006D076B"/>
    <w:rsid w:val="006D0D24"/>
    <w:rsid w:val="006D0D2F"/>
    <w:rsid w:val="006D0FBF"/>
    <w:rsid w:val="006D16A6"/>
    <w:rsid w:val="006D2E49"/>
    <w:rsid w:val="006D2FFC"/>
    <w:rsid w:val="006D37E8"/>
    <w:rsid w:val="006D5670"/>
    <w:rsid w:val="006D5F0F"/>
    <w:rsid w:val="006D6189"/>
    <w:rsid w:val="006D618D"/>
    <w:rsid w:val="006D6729"/>
    <w:rsid w:val="006D686B"/>
    <w:rsid w:val="006D6C6B"/>
    <w:rsid w:val="006D713F"/>
    <w:rsid w:val="006D74BD"/>
    <w:rsid w:val="006D766B"/>
    <w:rsid w:val="006D7C02"/>
    <w:rsid w:val="006E0504"/>
    <w:rsid w:val="006E068D"/>
    <w:rsid w:val="006E0B48"/>
    <w:rsid w:val="006E0CD8"/>
    <w:rsid w:val="006E0DCA"/>
    <w:rsid w:val="006E28AB"/>
    <w:rsid w:val="006E2EED"/>
    <w:rsid w:val="006E2F77"/>
    <w:rsid w:val="006E34EE"/>
    <w:rsid w:val="006E3697"/>
    <w:rsid w:val="006E3BAB"/>
    <w:rsid w:val="006E3C33"/>
    <w:rsid w:val="006E3DF1"/>
    <w:rsid w:val="006E401C"/>
    <w:rsid w:val="006E5C51"/>
    <w:rsid w:val="006E6D33"/>
    <w:rsid w:val="006E7B7F"/>
    <w:rsid w:val="006F00D0"/>
    <w:rsid w:val="006F0741"/>
    <w:rsid w:val="006F0AA5"/>
    <w:rsid w:val="006F0D00"/>
    <w:rsid w:val="006F0D5F"/>
    <w:rsid w:val="006F1307"/>
    <w:rsid w:val="006F140D"/>
    <w:rsid w:val="006F174C"/>
    <w:rsid w:val="006F2651"/>
    <w:rsid w:val="006F266B"/>
    <w:rsid w:val="006F2A98"/>
    <w:rsid w:val="006F2C87"/>
    <w:rsid w:val="006F33B8"/>
    <w:rsid w:val="006F41A6"/>
    <w:rsid w:val="006F486E"/>
    <w:rsid w:val="006F4DF3"/>
    <w:rsid w:val="006F4F53"/>
    <w:rsid w:val="006F55AF"/>
    <w:rsid w:val="006F5B83"/>
    <w:rsid w:val="006F6362"/>
    <w:rsid w:val="006F6F3A"/>
    <w:rsid w:val="006F7348"/>
    <w:rsid w:val="006F751A"/>
    <w:rsid w:val="006F7B5D"/>
    <w:rsid w:val="006F7B9C"/>
    <w:rsid w:val="006F7BF7"/>
    <w:rsid w:val="006F7C21"/>
    <w:rsid w:val="00700219"/>
    <w:rsid w:val="007004B1"/>
    <w:rsid w:val="00700823"/>
    <w:rsid w:val="007008A0"/>
    <w:rsid w:val="00700C52"/>
    <w:rsid w:val="007010D8"/>
    <w:rsid w:val="007013D4"/>
    <w:rsid w:val="00701657"/>
    <w:rsid w:val="00701700"/>
    <w:rsid w:val="00701872"/>
    <w:rsid w:val="007022E4"/>
    <w:rsid w:val="00702495"/>
    <w:rsid w:val="0070272E"/>
    <w:rsid w:val="0070283D"/>
    <w:rsid w:val="0070369E"/>
    <w:rsid w:val="0070499C"/>
    <w:rsid w:val="00704AAE"/>
    <w:rsid w:val="00705368"/>
    <w:rsid w:val="0070589F"/>
    <w:rsid w:val="00705BBE"/>
    <w:rsid w:val="007062C5"/>
    <w:rsid w:val="00706653"/>
    <w:rsid w:val="00706AEF"/>
    <w:rsid w:val="0070792A"/>
    <w:rsid w:val="007102FA"/>
    <w:rsid w:val="00710DE6"/>
    <w:rsid w:val="00711B9D"/>
    <w:rsid w:val="00711E04"/>
    <w:rsid w:val="00712477"/>
    <w:rsid w:val="00712917"/>
    <w:rsid w:val="0071445F"/>
    <w:rsid w:val="0071475D"/>
    <w:rsid w:val="007151EA"/>
    <w:rsid w:val="007153AD"/>
    <w:rsid w:val="0071598C"/>
    <w:rsid w:val="00715A62"/>
    <w:rsid w:val="007166E2"/>
    <w:rsid w:val="00716C12"/>
    <w:rsid w:val="00716DE7"/>
    <w:rsid w:val="0071706E"/>
    <w:rsid w:val="0071789D"/>
    <w:rsid w:val="00717DD0"/>
    <w:rsid w:val="007200AC"/>
    <w:rsid w:val="0072012E"/>
    <w:rsid w:val="0072038A"/>
    <w:rsid w:val="00720827"/>
    <w:rsid w:val="00721695"/>
    <w:rsid w:val="00722B33"/>
    <w:rsid w:val="00722EB8"/>
    <w:rsid w:val="00723274"/>
    <w:rsid w:val="0072359F"/>
    <w:rsid w:val="00723775"/>
    <w:rsid w:val="00723816"/>
    <w:rsid w:val="00723956"/>
    <w:rsid w:val="007241C1"/>
    <w:rsid w:val="0072467F"/>
    <w:rsid w:val="00724790"/>
    <w:rsid w:val="00724835"/>
    <w:rsid w:val="0072512A"/>
    <w:rsid w:val="0072520F"/>
    <w:rsid w:val="00725836"/>
    <w:rsid w:val="00725C4E"/>
    <w:rsid w:val="0072636D"/>
    <w:rsid w:val="00726B36"/>
    <w:rsid w:val="00726D4F"/>
    <w:rsid w:val="00726DAF"/>
    <w:rsid w:val="007271C2"/>
    <w:rsid w:val="007272D1"/>
    <w:rsid w:val="007275D2"/>
    <w:rsid w:val="00727C84"/>
    <w:rsid w:val="00730186"/>
    <w:rsid w:val="007306CE"/>
    <w:rsid w:val="0073132F"/>
    <w:rsid w:val="007321F9"/>
    <w:rsid w:val="0073222F"/>
    <w:rsid w:val="007327F6"/>
    <w:rsid w:val="00732B86"/>
    <w:rsid w:val="00733090"/>
    <w:rsid w:val="00733911"/>
    <w:rsid w:val="00733BFB"/>
    <w:rsid w:val="00733E08"/>
    <w:rsid w:val="00733E1F"/>
    <w:rsid w:val="00734858"/>
    <w:rsid w:val="0073541B"/>
    <w:rsid w:val="00735550"/>
    <w:rsid w:val="0073560C"/>
    <w:rsid w:val="00735D6C"/>
    <w:rsid w:val="00736B1F"/>
    <w:rsid w:val="00736FCC"/>
    <w:rsid w:val="007371D4"/>
    <w:rsid w:val="007371EC"/>
    <w:rsid w:val="007377B0"/>
    <w:rsid w:val="0074073A"/>
    <w:rsid w:val="0074120A"/>
    <w:rsid w:val="00741984"/>
    <w:rsid w:val="00742613"/>
    <w:rsid w:val="007428CC"/>
    <w:rsid w:val="00742944"/>
    <w:rsid w:val="00742991"/>
    <w:rsid w:val="00742B9A"/>
    <w:rsid w:val="00742E1E"/>
    <w:rsid w:val="00742FA8"/>
    <w:rsid w:val="0074362B"/>
    <w:rsid w:val="00743CC4"/>
    <w:rsid w:val="007448DA"/>
    <w:rsid w:val="0074501D"/>
    <w:rsid w:val="007453A5"/>
    <w:rsid w:val="00745D8F"/>
    <w:rsid w:val="00745E2E"/>
    <w:rsid w:val="00746AFD"/>
    <w:rsid w:val="007474ED"/>
    <w:rsid w:val="00747A70"/>
    <w:rsid w:val="007500B2"/>
    <w:rsid w:val="00750922"/>
    <w:rsid w:val="00751A2B"/>
    <w:rsid w:val="00753533"/>
    <w:rsid w:val="007535BA"/>
    <w:rsid w:val="00753A91"/>
    <w:rsid w:val="00753AA8"/>
    <w:rsid w:val="00753D6D"/>
    <w:rsid w:val="00753DE3"/>
    <w:rsid w:val="00754239"/>
    <w:rsid w:val="00754796"/>
    <w:rsid w:val="00755967"/>
    <w:rsid w:val="00755978"/>
    <w:rsid w:val="007565FA"/>
    <w:rsid w:val="007567E5"/>
    <w:rsid w:val="00756BD9"/>
    <w:rsid w:val="00756DC6"/>
    <w:rsid w:val="00757769"/>
    <w:rsid w:val="00757869"/>
    <w:rsid w:val="00757985"/>
    <w:rsid w:val="00757FBD"/>
    <w:rsid w:val="00760070"/>
    <w:rsid w:val="007606D7"/>
    <w:rsid w:val="0076075D"/>
    <w:rsid w:val="00760828"/>
    <w:rsid w:val="00760DB6"/>
    <w:rsid w:val="00762416"/>
    <w:rsid w:val="007627ED"/>
    <w:rsid w:val="007628D2"/>
    <w:rsid w:val="00763969"/>
    <w:rsid w:val="00763AF6"/>
    <w:rsid w:val="0076443D"/>
    <w:rsid w:val="0076475C"/>
    <w:rsid w:val="00764C61"/>
    <w:rsid w:val="007654DA"/>
    <w:rsid w:val="00765D5A"/>
    <w:rsid w:val="00766BFE"/>
    <w:rsid w:val="0076759A"/>
    <w:rsid w:val="00767D95"/>
    <w:rsid w:val="00767E49"/>
    <w:rsid w:val="007702D4"/>
    <w:rsid w:val="0077063D"/>
    <w:rsid w:val="00771174"/>
    <w:rsid w:val="00771722"/>
    <w:rsid w:val="00771BBB"/>
    <w:rsid w:val="007738F4"/>
    <w:rsid w:val="00774144"/>
    <w:rsid w:val="007744A1"/>
    <w:rsid w:val="00774559"/>
    <w:rsid w:val="007748F5"/>
    <w:rsid w:val="00774E0D"/>
    <w:rsid w:val="0077563B"/>
    <w:rsid w:val="007759B3"/>
    <w:rsid w:val="00775A5F"/>
    <w:rsid w:val="00775B84"/>
    <w:rsid w:val="00775C09"/>
    <w:rsid w:val="00775C4D"/>
    <w:rsid w:val="00775DFF"/>
    <w:rsid w:val="007763E0"/>
    <w:rsid w:val="0077665F"/>
    <w:rsid w:val="00776ADE"/>
    <w:rsid w:val="0077720E"/>
    <w:rsid w:val="00777655"/>
    <w:rsid w:val="00777769"/>
    <w:rsid w:val="007779D4"/>
    <w:rsid w:val="00777AED"/>
    <w:rsid w:val="00780016"/>
    <w:rsid w:val="0078008C"/>
    <w:rsid w:val="007807D5"/>
    <w:rsid w:val="007809B5"/>
    <w:rsid w:val="007809B9"/>
    <w:rsid w:val="00780BE1"/>
    <w:rsid w:val="00780C75"/>
    <w:rsid w:val="007811A4"/>
    <w:rsid w:val="00781AE7"/>
    <w:rsid w:val="00782345"/>
    <w:rsid w:val="00782873"/>
    <w:rsid w:val="00782E0E"/>
    <w:rsid w:val="00783B5F"/>
    <w:rsid w:val="00784760"/>
    <w:rsid w:val="007848F7"/>
    <w:rsid w:val="00784AAF"/>
    <w:rsid w:val="00784FF3"/>
    <w:rsid w:val="00785F68"/>
    <w:rsid w:val="007861F7"/>
    <w:rsid w:val="007862E7"/>
    <w:rsid w:val="00786D5F"/>
    <w:rsid w:val="00786DD7"/>
    <w:rsid w:val="007870CC"/>
    <w:rsid w:val="007877BE"/>
    <w:rsid w:val="00787E2F"/>
    <w:rsid w:val="00790224"/>
    <w:rsid w:val="0079023D"/>
    <w:rsid w:val="0079089E"/>
    <w:rsid w:val="00791125"/>
    <w:rsid w:val="00791277"/>
    <w:rsid w:val="00791361"/>
    <w:rsid w:val="00791963"/>
    <w:rsid w:val="00791D2D"/>
    <w:rsid w:val="00793151"/>
    <w:rsid w:val="0079330D"/>
    <w:rsid w:val="00793604"/>
    <w:rsid w:val="00793A0A"/>
    <w:rsid w:val="00793CE9"/>
    <w:rsid w:val="00794692"/>
    <w:rsid w:val="00794915"/>
    <w:rsid w:val="00794CBC"/>
    <w:rsid w:val="00794F8F"/>
    <w:rsid w:val="0079593C"/>
    <w:rsid w:val="0079595B"/>
    <w:rsid w:val="007964B0"/>
    <w:rsid w:val="007969B1"/>
    <w:rsid w:val="00796F5C"/>
    <w:rsid w:val="00797B53"/>
    <w:rsid w:val="00797C59"/>
    <w:rsid w:val="00797CAA"/>
    <w:rsid w:val="007A04CD"/>
    <w:rsid w:val="007A0566"/>
    <w:rsid w:val="007A07D7"/>
    <w:rsid w:val="007A093E"/>
    <w:rsid w:val="007A0AE9"/>
    <w:rsid w:val="007A1331"/>
    <w:rsid w:val="007A13F7"/>
    <w:rsid w:val="007A1A7C"/>
    <w:rsid w:val="007A1B1A"/>
    <w:rsid w:val="007A1EDE"/>
    <w:rsid w:val="007A21CB"/>
    <w:rsid w:val="007A242D"/>
    <w:rsid w:val="007A26CC"/>
    <w:rsid w:val="007A273B"/>
    <w:rsid w:val="007A3240"/>
    <w:rsid w:val="007A33FC"/>
    <w:rsid w:val="007A43AB"/>
    <w:rsid w:val="007A515C"/>
    <w:rsid w:val="007A536C"/>
    <w:rsid w:val="007A6398"/>
    <w:rsid w:val="007A6569"/>
    <w:rsid w:val="007A694A"/>
    <w:rsid w:val="007A6D95"/>
    <w:rsid w:val="007A7FD8"/>
    <w:rsid w:val="007B009C"/>
    <w:rsid w:val="007B07BF"/>
    <w:rsid w:val="007B08B9"/>
    <w:rsid w:val="007B0BEE"/>
    <w:rsid w:val="007B1F9E"/>
    <w:rsid w:val="007B2070"/>
    <w:rsid w:val="007B2586"/>
    <w:rsid w:val="007B2851"/>
    <w:rsid w:val="007B2D6F"/>
    <w:rsid w:val="007B3C21"/>
    <w:rsid w:val="007B3F52"/>
    <w:rsid w:val="007B4DB2"/>
    <w:rsid w:val="007B50B6"/>
    <w:rsid w:val="007B521B"/>
    <w:rsid w:val="007B5486"/>
    <w:rsid w:val="007B5596"/>
    <w:rsid w:val="007B5F88"/>
    <w:rsid w:val="007B5FD1"/>
    <w:rsid w:val="007B6D93"/>
    <w:rsid w:val="007B71CD"/>
    <w:rsid w:val="007B7431"/>
    <w:rsid w:val="007B793C"/>
    <w:rsid w:val="007B7B1B"/>
    <w:rsid w:val="007C017B"/>
    <w:rsid w:val="007C07F5"/>
    <w:rsid w:val="007C0982"/>
    <w:rsid w:val="007C1DDE"/>
    <w:rsid w:val="007C2494"/>
    <w:rsid w:val="007C2684"/>
    <w:rsid w:val="007C27AE"/>
    <w:rsid w:val="007C2965"/>
    <w:rsid w:val="007C29F2"/>
    <w:rsid w:val="007C33F1"/>
    <w:rsid w:val="007C3511"/>
    <w:rsid w:val="007C3DB1"/>
    <w:rsid w:val="007C3F3B"/>
    <w:rsid w:val="007C486D"/>
    <w:rsid w:val="007C4B49"/>
    <w:rsid w:val="007C4B61"/>
    <w:rsid w:val="007C4C22"/>
    <w:rsid w:val="007C4F88"/>
    <w:rsid w:val="007C5371"/>
    <w:rsid w:val="007C55B1"/>
    <w:rsid w:val="007C5740"/>
    <w:rsid w:val="007C5B23"/>
    <w:rsid w:val="007C5D7A"/>
    <w:rsid w:val="007C5E01"/>
    <w:rsid w:val="007C610E"/>
    <w:rsid w:val="007C65EB"/>
    <w:rsid w:val="007C6887"/>
    <w:rsid w:val="007C70F6"/>
    <w:rsid w:val="007C73EE"/>
    <w:rsid w:val="007C7934"/>
    <w:rsid w:val="007C7C2C"/>
    <w:rsid w:val="007C7DB0"/>
    <w:rsid w:val="007D0AA8"/>
    <w:rsid w:val="007D1320"/>
    <w:rsid w:val="007D1555"/>
    <w:rsid w:val="007D1687"/>
    <w:rsid w:val="007D185A"/>
    <w:rsid w:val="007D1CDF"/>
    <w:rsid w:val="007D285D"/>
    <w:rsid w:val="007D333A"/>
    <w:rsid w:val="007D342F"/>
    <w:rsid w:val="007D3661"/>
    <w:rsid w:val="007D4287"/>
    <w:rsid w:val="007D5931"/>
    <w:rsid w:val="007D5961"/>
    <w:rsid w:val="007D5D23"/>
    <w:rsid w:val="007D62F1"/>
    <w:rsid w:val="007D6436"/>
    <w:rsid w:val="007D6B00"/>
    <w:rsid w:val="007D7C56"/>
    <w:rsid w:val="007E0030"/>
    <w:rsid w:val="007E01AF"/>
    <w:rsid w:val="007E0CD5"/>
    <w:rsid w:val="007E0F77"/>
    <w:rsid w:val="007E1BB6"/>
    <w:rsid w:val="007E22EE"/>
    <w:rsid w:val="007E22EF"/>
    <w:rsid w:val="007E26EA"/>
    <w:rsid w:val="007E3443"/>
    <w:rsid w:val="007E38CF"/>
    <w:rsid w:val="007E3E18"/>
    <w:rsid w:val="007E4AD2"/>
    <w:rsid w:val="007E5631"/>
    <w:rsid w:val="007E5654"/>
    <w:rsid w:val="007E57E1"/>
    <w:rsid w:val="007E6333"/>
    <w:rsid w:val="007E67FE"/>
    <w:rsid w:val="007E681E"/>
    <w:rsid w:val="007E6851"/>
    <w:rsid w:val="007E770B"/>
    <w:rsid w:val="007E7784"/>
    <w:rsid w:val="007E78F9"/>
    <w:rsid w:val="007E7F4E"/>
    <w:rsid w:val="007E7FD4"/>
    <w:rsid w:val="007F01C8"/>
    <w:rsid w:val="007F08D3"/>
    <w:rsid w:val="007F0C04"/>
    <w:rsid w:val="007F14F7"/>
    <w:rsid w:val="007F1788"/>
    <w:rsid w:val="007F20B4"/>
    <w:rsid w:val="007F23B6"/>
    <w:rsid w:val="007F2639"/>
    <w:rsid w:val="007F2B25"/>
    <w:rsid w:val="007F2C7A"/>
    <w:rsid w:val="007F2C90"/>
    <w:rsid w:val="007F2D5E"/>
    <w:rsid w:val="007F316B"/>
    <w:rsid w:val="007F359C"/>
    <w:rsid w:val="007F3751"/>
    <w:rsid w:val="007F3DFA"/>
    <w:rsid w:val="007F4B23"/>
    <w:rsid w:val="007F4FB7"/>
    <w:rsid w:val="007F5204"/>
    <w:rsid w:val="007F55DB"/>
    <w:rsid w:val="007F5674"/>
    <w:rsid w:val="007F57C9"/>
    <w:rsid w:val="007F5875"/>
    <w:rsid w:val="007F58CA"/>
    <w:rsid w:val="007F5EF2"/>
    <w:rsid w:val="007F602E"/>
    <w:rsid w:val="007F6200"/>
    <w:rsid w:val="007F623A"/>
    <w:rsid w:val="007F62F4"/>
    <w:rsid w:val="007F66A9"/>
    <w:rsid w:val="007F6794"/>
    <w:rsid w:val="007F6A35"/>
    <w:rsid w:val="007F7519"/>
    <w:rsid w:val="007F775F"/>
    <w:rsid w:val="007F7CBF"/>
    <w:rsid w:val="008003BD"/>
    <w:rsid w:val="00800581"/>
    <w:rsid w:val="00800AB0"/>
    <w:rsid w:val="00800D9E"/>
    <w:rsid w:val="00800DEA"/>
    <w:rsid w:val="0080182C"/>
    <w:rsid w:val="00801990"/>
    <w:rsid w:val="00801EB1"/>
    <w:rsid w:val="00801FD6"/>
    <w:rsid w:val="00802A40"/>
    <w:rsid w:val="00803A36"/>
    <w:rsid w:val="00803B44"/>
    <w:rsid w:val="00803C84"/>
    <w:rsid w:val="00805368"/>
    <w:rsid w:val="00805394"/>
    <w:rsid w:val="00805B29"/>
    <w:rsid w:val="00805D9A"/>
    <w:rsid w:val="0080608D"/>
    <w:rsid w:val="0080659B"/>
    <w:rsid w:val="0080673F"/>
    <w:rsid w:val="0080712F"/>
    <w:rsid w:val="008076A8"/>
    <w:rsid w:val="008079F5"/>
    <w:rsid w:val="00810540"/>
    <w:rsid w:val="008108A3"/>
    <w:rsid w:val="00810A7F"/>
    <w:rsid w:val="0081154A"/>
    <w:rsid w:val="00811BEA"/>
    <w:rsid w:val="008135B3"/>
    <w:rsid w:val="00813F4F"/>
    <w:rsid w:val="00814495"/>
    <w:rsid w:val="00814C21"/>
    <w:rsid w:val="00814E01"/>
    <w:rsid w:val="00814E7B"/>
    <w:rsid w:val="00815410"/>
    <w:rsid w:val="00815543"/>
    <w:rsid w:val="00815DAA"/>
    <w:rsid w:val="0081619C"/>
    <w:rsid w:val="008166A2"/>
    <w:rsid w:val="00816763"/>
    <w:rsid w:val="00817014"/>
    <w:rsid w:val="008170CC"/>
    <w:rsid w:val="00817B9B"/>
    <w:rsid w:val="00817E0A"/>
    <w:rsid w:val="00817F4F"/>
    <w:rsid w:val="008200CD"/>
    <w:rsid w:val="00820722"/>
    <w:rsid w:val="0082080C"/>
    <w:rsid w:val="008212AB"/>
    <w:rsid w:val="008213C5"/>
    <w:rsid w:val="00821FBB"/>
    <w:rsid w:val="00822057"/>
    <w:rsid w:val="008221EE"/>
    <w:rsid w:val="00822CD2"/>
    <w:rsid w:val="00822F02"/>
    <w:rsid w:val="00823BB2"/>
    <w:rsid w:val="00823BE6"/>
    <w:rsid w:val="008240A6"/>
    <w:rsid w:val="00824540"/>
    <w:rsid w:val="008247B8"/>
    <w:rsid w:val="0082602E"/>
    <w:rsid w:val="00826839"/>
    <w:rsid w:val="00826EF9"/>
    <w:rsid w:val="008274DE"/>
    <w:rsid w:val="00827641"/>
    <w:rsid w:val="00827BEA"/>
    <w:rsid w:val="00830770"/>
    <w:rsid w:val="008308D8"/>
    <w:rsid w:val="00830DE5"/>
    <w:rsid w:val="008310DE"/>
    <w:rsid w:val="00831338"/>
    <w:rsid w:val="00831820"/>
    <w:rsid w:val="0083188E"/>
    <w:rsid w:val="00831DED"/>
    <w:rsid w:val="008321E0"/>
    <w:rsid w:val="00832B09"/>
    <w:rsid w:val="008330CD"/>
    <w:rsid w:val="008332B2"/>
    <w:rsid w:val="008334D7"/>
    <w:rsid w:val="008334F7"/>
    <w:rsid w:val="00833784"/>
    <w:rsid w:val="00833CCF"/>
    <w:rsid w:val="0083435D"/>
    <w:rsid w:val="00834994"/>
    <w:rsid w:val="00835227"/>
    <w:rsid w:val="0083522F"/>
    <w:rsid w:val="0083545D"/>
    <w:rsid w:val="008355B6"/>
    <w:rsid w:val="008355C1"/>
    <w:rsid w:val="00835719"/>
    <w:rsid w:val="008363DD"/>
    <w:rsid w:val="00837457"/>
    <w:rsid w:val="00837698"/>
    <w:rsid w:val="00840074"/>
    <w:rsid w:val="00840718"/>
    <w:rsid w:val="00840857"/>
    <w:rsid w:val="008408C0"/>
    <w:rsid w:val="008408CE"/>
    <w:rsid w:val="00840D12"/>
    <w:rsid w:val="00840D8A"/>
    <w:rsid w:val="0084122B"/>
    <w:rsid w:val="00841352"/>
    <w:rsid w:val="00841412"/>
    <w:rsid w:val="00841652"/>
    <w:rsid w:val="00841AC8"/>
    <w:rsid w:val="00841E04"/>
    <w:rsid w:val="00841F64"/>
    <w:rsid w:val="0084208D"/>
    <w:rsid w:val="0084242B"/>
    <w:rsid w:val="0084298B"/>
    <w:rsid w:val="00842A26"/>
    <w:rsid w:val="00842A68"/>
    <w:rsid w:val="00843BA7"/>
    <w:rsid w:val="00843EC8"/>
    <w:rsid w:val="00844507"/>
    <w:rsid w:val="00844868"/>
    <w:rsid w:val="00844C04"/>
    <w:rsid w:val="00844CDC"/>
    <w:rsid w:val="00844E86"/>
    <w:rsid w:val="008450CE"/>
    <w:rsid w:val="00845890"/>
    <w:rsid w:val="00845CDF"/>
    <w:rsid w:val="00846489"/>
    <w:rsid w:val="008465C7"/>
    <w:rsid w:val="008468F6"/>
    <w:rsid w:val="00846DD0"/>
    <w:rsid w:val="00846E7B"/>
    <w:rsid w:val="00846FA9"/>
    <w:rsid w:val="00846FBD"/>
    <w:rsid w:val="008474BF"/>
    <w:rsid w:val="00847C46"/>
    <w:rsid w:val="00847C71"/>
    <w:rsid w:val="00850F30"/>
    <w:rsid w:val="0085133B"/>
    <w:rsid w:val="0085195A"/>
    <w:rsid w:val="00851E6B"/>
    <w:rsid w:val="0085217C"/>
    <w:rsid w:val="00852896"/>
    <w:rsid w:val="00852982"/>
    <w:rsid w:val="00853303"/>
    <w:rsid w:val="00853776"/>
    <w:rsid w:val="008537C7"/>
    <w:rsid w:val="00853863"/>
    <w:rsid w:val="008540C3"/>
    <w:rsid w:val="008543CF"/>
    <w:rsid w:val="00854B31"/>
    <w:rsid w:val="00854D37"/>
    <w:rsid w:val="008552D3"/>
    <w:rsid w:val="0085537F"/>
    <w:rsid w:val="00855F47"/>
    <w:rsid w:val="00856277"/>
    <w:rsid w:val="0085718D"/>
    <w:rsid w:val="008573C2"/>
    <w:rsid w:val="0085745D"/>
    <w:rsid w:val="008576C1"/>
    <w:rsid w:val="00857C7F"/>
    <w:rsid w:val="008600E5"/>
    <w:rsid w:val="00860719"/>
    <w:rsid w:val="00860EE8"/>
    <w:rsid w:val="008612E1"/>
    <w:rsid w:val="00861C43"/>
    <w:rsid w:val="008625DA"/>
    <w:rsid w:val="00862BAB"/>
    <w:rsid w:val="00862F83"/>
    <w:rsid w:val="00863D90"/>
    <w:rsid w:val="008641FB"/>
    <w:rsid w:val="0086441E"/>
    <w:rsid w:val="00864606"/>
    <w:rsid w:val="00864955"/>
    <w:rsid w:val="0086495F"/>
    <w:rsid w:val="00864E19"/>
    <w:rsid w:val="00865B34"/>
    <w:rsid w:val="008668FA"/>
    <w:rsid w:val="00866B83"/>
    <w:rsid w:val="00866C1F"/>
    <w:rsid w:val="00866FF4"/>
    <w:rsid w:val="00867487"/>
    <w:rsid w:val="00867521"/>
    <w:rsid w:val="008678C8"/>
    <w:rsid w:val="00867FD9"/>
    <w:rsid w:val="00871132"/>
    <w:rsid w:val="0087123F"/>
    <w:rsid w:val="0087137D"/>
    <w:rsid w:val="00871CC7"/>
    <w:rsid w:val="008720AC"/>
    <w:rsid w:val="00872477"/>
    <w:rsid w:val="00872852"/>
    <w:rsid w:val="00872DE3"/>
    <w:rsid w:val="00873AA5"/>
    <w:rsid w:val="00874184"/>
    <w:rsid w:val="00874753"/>
    <w:rsid w:val="00874B7E"/>
    <w:rsid w:val="00874F77"/>
    <w:rsid w:val="008751C5"/>
    <w:rsid w:val="00875C3C"/>
    <w:rsid w:val="00875D97"/>
    <w:rsid w:val="008764C4"/>
    <w:rsid w:val="00876ED8"/>
    <w:rsid w:val="00877600"/>
    <w:rsid w:val="00877727"/>
    <w:rsid w:val="00877CC4"/>
    <w:rsid w:val="00877DDE"/>
    <w:rsid w:val="00877FF4"/>
    <w:rsid w:val="0088051E"/>
    <w:rsid w:val="0088078A"/>
    <w:rsid w:val="00880A7D"/>
    <w:rsid w:val="00881580"/>
    <w:rsid w:val="00881709"/>
    <w:rsid w:val="0088176F"/>
    <w:rsid w:val="008823FC"/>
    <w:rsid w:val="00882B08"/>
    <w:rsid w:val="00882DEB"/>
    <w:rsid w:val="00882F12"/>
    <w:rsid w:val="00882F19"/>
    <w:rsid w:val="00882F68"/>
    <w:rsid w:val="00883172"/>
    <w:rsid w:val="008839E6"/>
    <w:rsid w:val="00883B82"/>
    <w:rsid w:val="00883CF9"/>
    <w:rsid w:val="008840C7"/>
    <w:rsid w:val="008852E0"/>
    <w:rsid w:val="008853C2"/>
    <w:rsid w:val="00885ABA"/>
    <w:rsid w:val="008863A4"/>
    <w:rsid w:val="008866BE"/>
    <w:rsid w:val="008868A4"/>
    <w:rsid w:val="00886D2B"/>
    <w:rsid w:val="00886D6B"/>
    <w:rsid w:val="00886F40"/>
    <w:rsid w:val="00887341"/>
    <w:rsid w:val="00887429"/>
    <w:rsid w:val="008875E1"/>
    <w:rsid w:val="00887A2B"/>
    <w:rsid w:val="00887A40"/>
    <w:rsid w:val="00887BA4"/>
    <w:rsid w:val="00887CAA"/>
    <w:rsid w:val="00887FB0"/>
    <w:rsid w:val="00890472"/>
    <w:rsid w:val="00890483"/>
    <w:rsid w:val="008904E4"/>
    <w:rsid w:val="0089064D"/>
    <w:rsid w:val="00891D86"/>
    <w:rsid w:val="00891E69"/>
    <w:rsid w:val="00892A53"/>
    <w:rsid w:val="00892F98"/>
    <w:rsid w:val="0089339D"/>
    <w:rsid w:val="008935F2"/>
    <w:rsid w:val="008937A5"/>
    <w:rsid w:val="00893986"/>
    <w:rsid w:val="00893FA3"/>
    <w:rsid w:val="00894925"/>
    <w:rsid w:val="00894AFF"/>
    <w:rsid w:val="00894D9C"/>
    <w:rsid w:val="0089554E"/>
    <w:rsid w:val="00895688"/>
    <w:rsid w:val="00895E82"/>
    <w:rsid w:val="00895FAD"/>
    <w:rsid w:val="00896142"/>
    <w:rsid w:val="00897F47"/>
    <w:rsid w:val="008A0520"/>
    <w:rsid w:val="008A0576"/>
    <w:rsid w:val="008A0E63"/>
    <w:rsid w:val="008A12B3"/>
    <w:rsid w:val="008A15DB"/>
    <w:rsid w:val="008A162F"/>
    <w:rsid w:val="008A175D"/>
    <w:rsid w:val="008A1892"/>
    <w:rsid w:val="008A261D"/>
    <w:rsid w:val="008A2F48"/>
    <w:rsid w:val="008A3091"/>
    <w:rsid w:val="008A333E"/>
    <w:rsid w:val="008A3FD1"/>
    <w:rsid w:val="008A4716"/>
    <w:rsid w:val="008A4A48"/>
    <w:rsid w:val="008A4EA3"/>
    <w:rsid w:val="008A4FC6"/>
    <w:rsid w:val="008A541B"/>
    <w:rsid w:val="008A59E3"/>
    <w:rsid w:val="008A5FFC"/>
    <w:rsid w:val="008A65B4"/>
    <w:rsid w:val="008A6A0D"/>
    <w:rsid w:val="008A6C52"/>
    <w:rsid w:val="008B05FA"/>
    <w:rsid w:val="008B0619"/>
    <w:rsid w:val="008B0AD0"/>
    <w:rsid w:val="008B11C2"/>
    <w:rsid w:val="008B18F5"/>
    <w:rsid w:val="008B1A81"/>
    <w:rsid w:val="008B20DD"/>
    <w:rsid w:val="008B2373"/>
    <w:rsid w:val="008B2934"/>
    <w:rsid w:val="008B2A66"/>
    <w:rsid w:val="008B2CBF"/>
    <w:rsid w:val="008B3757"/>
    <w:rsid w:val="008B3E43"/>
    <w:rsid w:val="008B3EC2"/>
    <w:rsid w:val="008B49C1"/>
    <w:rsid w:val="008B50DC"/>
    <w:rsid w:val="008B517F"/>
    <w:rsid w:val="008B57FD"/>
    <w:rsid w:val="008B6999"/>
    <w:rsid w:val="008B6A11"/>
    <w:rsid w:val="008B6A25"/>
    <w:rsid w:val="008B6BAA"/>
    <w:rsid w:val="008B6DCC"/>
    <w:rsid w:val="008B6E27"/>
    <w:rsid w:val="008B725E"/>
    <w:rsid w:val="008B735B"/>
    <w:rsid w:val="008B7AF8"/>
    <w:rsid w:val="008C087A"/>
    <w:rsid w:val="008C0ECE"/>
    <w:rsid w:val="008C0F6F"/>
    <w:rsid w:val="008C1DC1"/>
    <w:rsid w:val="008C276D"/>
    <w:rsid w:val="008C32A2"/>
    <w:rsid w:val="008C3837"/>
    <w:rsid w:val="008C4391"/>
    <w:rsid w:val="008C5117"/>
    <w:rsid w:val="008C53B7"/>
    <w:rsid w:val="008C53D8"/>
    <w:rsid w:val="008C546E"/>
    <w:rsid w:val="008C5A7E"/>
    <w:rsid w:val="008C5E1D"/>
    <w:rsid w:val="008C6A2F"/>
    <w:rsid w:val="008C6C35"/>
    <w:rsid w:val="008C727C"/>
    <w:rsid w:val="008C7593"/>
    <w:rsid w:val="008C78E4"/>
    <w:rsid w:val="008C7B37"/>
    <w:rsid w:val="008D0195"/>
    <w:rsid w:val="008D174D"/>
    <w:rsid w:val="008D1BAC"/>
    <w:rsid w:val="008D1F46"/>
    <w:rsid w:val="008D1F8D"/>
    <w:rsid w:val="008D22E7"/>
    <w:rsid w:val="008D26CB"/>
    <w:rsid w:val="008D2B82"/>
    <w:rsid w:val="008D2E5A"/>
    <w:rsid w:val="008D304D"/>
    <w:rsid w:val="008D3468"/>
    <w:rsid w:val="008D34EF"/>
    <w:rsid w:val="008D39ED"/>
    <w:rsid w:val="008D3D83"/>
    <w:rsid w:val="008D3DAB"/>
    <w:rsid w:val="008D42BF"/>
    <w:rsid w:val="008D44A2"/>
    <w:rsid w:val="008D4B6E"/>
    <w:rsid w:val="008D4F24"/>
    <w:rsid w:val="008D52B9"/>
    <w:rsid w:val="008D60EE"/>
    <w:rsid w:val="008D692E"/>
    <w:rsid w:val="008D6AFB"/>
    <w:rsid w:val="008D70F0"/>
    <w:rsid w:val="008D727A"/>
    <w:rsid w:val="008E07B4"/>
    <w:rsid w:val="008E0C63"/>
    <w:rsid w:val="008E1B89"/>
    <w:rsid w:val="008E2304"/>
    <w:rsid w:val="008E256E"/>
    <w:rsid w:val="008E25E5"/>
    <w:rsid w:val="008E2940"/>
    <w:rsid w:val="008E29EA"/>
    <w:rsid w:val="008E2E39"/>
    <w:rsid w:val="008E341E"/>
    <w:rsid w:val="008E3756"/>
    <w:rsid w:val="008E4903"/>
    <w:rsid w:val="008E4E58"/>
    <w:rsid w:val="008E52E2"/>
    <w:rsid w:val="008E5A9F"/>
    <w:rsid w:val="008E5D68"/>
    <w:rsid w:val="008E7069"/>
    <w:rsid w:val="008E74E0"/>
    <w:rsid w:val="008E780D"/>
    <w:rsid w:val="008E7D81"/>
    <w:rsid w:val="008E7FAF"/>
    <w:rsid w:val="008F0034"/>
    <w:rsid w:val="008F04AF"/>
    <w:rsid w:val="008F07B6"/>
    <w:rsid w:val="008F1E54"/>
    <w:rsid w:val="008F22A2"/>
    <w:rsid w:val="008F2701"/>
    <w:rsid w:val="008F2812"/>
    <w:rsid w:val="008F34ED"/>
    <w:rsid w:val="008F38A8"/>
    <w:rsid w:val="008F492C"/>
    <w:rsid w:val="008F4950"/>
    <w:rsid w:val="008F5F17"/>
    <w:rsid w:val="008F607E"/>
    <w:rsid w:val="008F6151"/>
    <w:rsid w:val="008F68D3"/>
    <w:rsid w:val="008F6943"/>
    <w:rsid w:val="008F7802"/>
    <w:rsid w:val="008F786B"/>
    <w:rsid w:val="008F7948"/>
    <w:rsid w:val="00900B76"/>
    <w:rsid w:val="00900C9F"/>
    <w:rsid w:val="00901169"/>
    <w:rsid w:val="00901C63"/>
    <w:rsid w:val="00901CB3"/>
    <w:rsid w:val="00901DED"/>
    <w:rsid w:val="00901F38"/>
    <w:rsid w:val="00901FFE"/>
    <w:rsid w:val="009033F8"/>
    <w:rsid w:val="009034DD"/>
    <w:rsid w:val="0090368B"/>
    <w:rsid w:val="009036F8"/>
    <w:rsid w:val="009042E4"/>
    <w:rsid w:val="009046ED"/>
    <w:rsid w:val="00904824"/>
    <w:rsid w:val="00904AEB"/>
    <w:rsid w:val="00905617"/>
    <w:rsid w:val="0090589E"/>
    <w:rsid w:val="00905DC2"/>
    <w:rsid w:val="00905EEC"/>
    <w:rsid w:val="00906528"/>
    <w:rsid w:val="00906665"/>
    <w:rsid w:val="00906B6F"/>
    <w:rsid w:val="00907663"/>
    <w:rsid w:val="009078FB"/>
    <w:rsid w:val="00907CA9"/>
    <w:rsid w:val="00907F43"/>
    <w:rsid w:val="00910044"/>
    <w:rsid w:val="00910366"/>
    <w:rsid w:val="0091038B"/>
    <w:rsid w:val="009106FD"/>
    <w:rsid w:val="00910756"/>
    <w:rsid w:val="00910AA9"/>
    <w:rsid w:val="00911160"/>
    <w:rsid w:val="0091179B"/>
    <w:rsid w:val="00911A8B"/>
    <w:rsid w:val="0091211A"/>
    <w:rsid w:val="00912544"/>
    <w:rsid w:val="00913557"/>
    <w:rsid w:val="00913BA4"/>
    <w:rsid w:val="00914041"/>
    <w:rsid w:val="009140C5"/>
    <w:rsid w:val="00914147"/>
    <w:rsid w:val="00914664"/>
    <w:rsid w:val="0091475F"/>
    <w:rsid w:val="00914A8F"/>
    <w:rsid w:val="00914C4F"/>
    <w:rsid w:val="009160A9"/>
    <w:rsid w:val="0091646F"/>
    <w:rsid w:val="0091664F"/>
    <w:rsid w:val="00916AC2"/>
    <w:rsid w:val="00916EF5"/>
    <w:rsid w:val="009177BF"/>
    <w:rsid w:val="00917926"/>
    <w:rsid w:val="00917B09"/>
    <w:rsid w:val="00917E99"/>
    <w:rsid w:val="009200CC"/>
    <w:rsid w:val="009205BD"/>
    <w:rsid w:val="0092107E"/>
    <w:rsid w:val="00921488"/>
    <w:rsid w:val="00921D6E"/>
    <w:rsid w:val="009220BE"/>
    <w:rsid w:val="00922108"/>
    <w:rsid w:val="009226D4"/>
    <w:rsid w:val="00923A0F"/>
    <w:rsid w:val="0092442F"/>
    <w:rsid w:val="00924A2F"/>
    <w:rsid w:val="009257C2"/>
    <w:rsid w:val="00925AE5"/>
    <w:rsid w:val="0092617B"/>
    <w:rsid w:val="0092687B"/>
    <w:rsid w:val="00926CE0"/>
    <w:rsid w:val="00926FF1"/>
    <w:rsid w:val="009270C3"/>
    <w:rsid w:val="00927774"/>
    <w:rsid w:val="00927DF2"/>
    <w:rsid w:val="00930E1D"/>
    <w:rsid w:val="009310F2"/>
    <w:rsid w:val="009312DB"/>
    <w:rsid w:val="009312ED"/>
    <w:rsid w:val="00931BC0"/>
    <w:rsid w:val="00932426"/>
    <w:rsid w:val="0093266C"/>
    <w:rsid w:val="00932F11"/>
    <w:rsid w:val="00933AD3"/>
    <w:rsid w:val="0093469B"/>
    <w:rsid w:val="00934B55"/>
    <w:rsid w:val="009351B3"/>
    <w:rsid w:val="0093550E"/>
    <w:rsid w:val="0093597E"/>
    <w:rsid w:val="00935C5A"/>
    <w:rsid w:val="00935D0B"/>
    <w:rsid w:val="00935E99"/>
    <w:rsid w:val="009365C9"/>
    <w:rsid w:val="00936FD5"/>
    <w:rsid w:val="00937313"/>
    <w:rsid w:val="009373EF"/>
    <w:rsid w:val="0093785A"/>
    <w:rsid w:val="00937A7D"/>
    <w:rsid w:val="00937AF4"/>
    <w:rsid w:val="00940185"/>
    <w:rsid w:val="0094020E"/>
    <w:rsid w:val="0094041C"/>
    <w:rsid w:val="00940741"/>
    <w:rsid w:val="009412C2"/>
    <w:rsid w:val="0094168F"/>
    <w:rsid w:val="00941EAB"/>
    <w:rsid w:val="009424DA"/>
    <w:rsid w:val="00942A2A"/>
    <w:rsid w:val="00942BBD"/>
    <w:rsid w:val="00942D96"/>
    <w:rsid w:val="00943156"/>
    <w:rsid w:val="009431D9"/>
    <w:rsid w:val="0094421F"/>
    <w:rsid w:val="0094424F"/>
    <w:rsid w:val="0094494E"/>
    <w:rsid w:val="00944B5D"/>
    <w:rsid w:val="00945A27"/>
    <w:rsid w:val="00945B4D"/>
    <w:rsid w:val="00945CB4"/>
    <w:rsid w:val="009460AD"/>
    <w:rsid w:val="00946158"/>
    <w:rsid w:val="0094639E"/>
    <w:rsid w:val="009463B4"/>
    <w:rsid w:val="0094660E"/>
    <w:rsid w:val="00946C59"/>
    <w:rsid w:val="009471F9"/>
    <w:rsid w:val="009473D0"/>
    <w:rsid w:val="0094780B"/>
    <w:rsid w:val="00947870"/>
    <w:rsid w:val="00947A05"/>
    <w:rsid w:val="00947A8A"/>
    <w:rsid w:val="0095060B"/>
    <w:rsid w:val="00950D6D"/>
    <w:rsid w:val="00950E92"/>
    <w:rsid w:val="00950F88"/>
    <w:rsid w:val="009512D1"/>
    <w:rsid w:val="00951AF6"/>
    <w:rsid w:val="009524C8"/>
    <w:rsid w:val="00952569"/>
    <w:rsid w:val="009528EE"/>
    <w:rsid w:val="00952B6E"/>
    <w:rsid w:val="00953300"/>
    <w:rsid w:val="00954721"/>
    <w:rsid w:val="00954B61"/>
    <w:rsid w:val="00955D09"/>
    <w:rsid w:val="009560B9"/>
    <w:rsid w:val="009566DB"/>
    <w:rsid w:val="00956CE1"/>
    <w:rsid w:val="00956D17"/>
    <w:rsid w:val="00957044"/>
    <w:rsid w:val="0095768F"/>
    <w:rsid w:val="00960765"/>
    <w:rsid w:val="009608A2"/>
    <w:rsid w:val="00960979"/>
    <w:rsid w:val="00960D6B"/>
    <w:rsid w:val="009610D6"/>
    <w:rsid w:val="00961332"/>
    <w:rsid w:val="0096150A"/>
    <w:rsid w:val="0096172A"/>
    <w:rsid w:val="0096231F"/>
    <w:rsid w:val="00962454"/>
    <w:rsid w:val="0096247F"/>
    <w:rsid w:val="00962BF8"/>
    <w:rsid w:val="00963927"/>
    <w:rsid w:val="0096470F"/>
    <w:rsid w:val="00965945"/>
    <w:rsid w:val="00965A96"/>
    <w:rsid w:val="00965B16"/>
    <w:rsid w:val="00966BC6"/>
    <w:rsid w:val="00966CE2"/>
    <w:rsid w:val="009675C5"/>
    <w:rsid w:val="00967CBA"/>
    <w:rsid w:val="00967CC9"/>
    <w:rsid w:val="00970456"/>
    <w:rsid w:val="00970AE6"/>
    <w:rsid w:val="00970F3A"/>
    <w:rsid w:val="00970F90"/>
    <w:rsid w:val="00971587"/>
    <w:rsid w:val="009716DA"/>
    <w:rsid w:val="00971938"/>
    <w:rsid w:val="00971E2A"/>
    <w:rsid w:val="00972A0E"/>
    <w:rsid w:val="009742D2"/>
    <w:rsid w:val="00974789"/>
    <w:rsid w:val="009749C2"/>
    <w:rsid w:val="00974AA4"/>
    <w:rsid w:val="00974B54"/>
    <w:rsid w:val="0097530E"/>
    <w:rsid w:val="009755ED"/>
    <w:rsid w:val="009758D8"/>
    <w:rsid w:val="00975B0C"/>
    <w:rsid w:val="00975B5D"/>
    <w:rsid w:val="00975D22"/>
    <w:rsid w:val="00975DD5"/>
    <w:rsid w:val="00975E6C"/>
    <w:rsid w:val="00976629"/>
    <w:rsid w:val="009768D2"/>
    <w:rsid w:val="00976F73"/>
    <w:rsid w:val="00976FE5"/>
    <w:rsid w:val="009771AC"/>
    <w:rsid w:val="009776F6"/>
    <w:rsid w:val="00977A16"/>
    <w:rsid w:val="00977F53"/>
    <w:rsid w:val="009800BC"/>
    <w:rsid w:val="009806C7"/>
    <w:rsid w:val="009808BB"/>
    <w:rsid w:val="00980FB2"/>
    <w:rsid w:val="009810AC"/>
    <w:rsid w:val="0098115B"/>
    <w:rsid w:val="00981376"/>
    <w:rsid w:val="00981A59"/>
    <w:rsid w:val="00981EE9"/>
    <w:rsid w:val="009826B7"/>
    <w:rsid w:val="00982DA6"/>
    <w:rsid w:val="00983137"/>
    <w:rsid w:val="009832A7"/>
    <w:rsid w:val="00983A90"/>
    <w:rsid w:val="00983D76"/>
    <w:rsid w:val="00984233"/>
    <w:rsid w:val="009843E7"/>
    <w:rsid w:val="0098471A"/>
    <w:rsid w:val="0098491D"/>
    <w:rsid w:val="00984B95"/>
    <w:rsid w:val="00984F63"/>
    <w:rsid w:val="00985265"/>
    <w:rsid w:val="0098548D"/>
    <w:rsid w:val="00985FEC"/>
    <w:rsid w:val="009869D8"/>
    <w:rsid w:val="0098701D"/>
    <w:rsid w:val="009879F7"/>
    <w:rsid w:val="00990603"/>
    <w:rsid w:val="00990B14"/>
    <w:rsid w:val="00990C45"/>
    <w:rsid w:val="00990D5D"/>
    <w:rsid w:val="0099151C"/>
    <w:rsid w:val="00991548"/>
    <w:rsid w:val="009915FA"/>
    <w:rsid w:val="0099192F"/>
    <w:rsid w:val="00991BE8"/>
    <w:rsid w:val="00992713"/>
    <w:rsid w:val="0099288A"/>
    <w:rsid w:val="009928C0"/>
    <w:rsid w:val="009941BF"/>
    <w:rsid w:val="009944F5"/>
    <w:rsid w:val="00994711"/>
    <w:rsid w:val="009947B9"/>
    <w:rsid w:val="00994C91"/>
    <w:rsid w:val="009959FD"/>
    <w:rsid w:val="00995DFA"/>
    <w:rsid w:val="00995E08"/>
    <w:rsid w:val="00995E9C"/>
    <w:rsid w:val="00995EF6"/>
    <w:rsid w:val="00995F21"/>
    <w:rsid w:val="009962EB"/>
    <w:rsid w:val="0099709E"/>
    <w:rsid w:val="009970D0"/>
    <w:rsid w:val="009A02C8"/>
    <w:rsid w:val="009A0881"/>
    <w:rsid w:val="009A09A4"/>
    <w:rsid w:val="009A0DC3"/>
    <w:rsid w:val="009A10FF"/>
    <w:rsid w:val="009A16EB"/>
    <w:rsid w:val="009A22B4"/>
    <w:rsid w:val="009A2648"/>
    <w:rsid w:val="009A2927"/>
    <w:rsid w:val="009A2A56"/>
    <w:rsid w:val="009A337D"/>
    <w:rsid w:val="009A3418"/>
    <w:rsid w:val="009A364F"/>
    <w:rsid w:val="009A3826"/>
    <w:rsid w:val="009A3A22"/>
    <w:rsid w:val="009A3F26"/>
    <w:rsid w:val="009A3FCF"/>
    <w:rsid w:val="009A401C"/>
    <w:rsid w:val="009A4372"/>
    <w:rsid w:val="009A4AF6"/>
    <w:rsid w:val="009A4C4E"/>
    <w:rsid w:val="009A4ECF"/>
    <w:rsid w:val="009A5667"/>
    <w:rsid w:val="009A575E"/>
    <w:rsid w:val="009A696B"/>
    <w:rsid w:val="009A6FF7"/>
    <w:rsid w:val="009A72B4"/>
    <w:rsid w:val="009A73D0"/>
    <w:rsid w:val="009A7B85"/>
    <w:rsid w:val="009A7C37"/>
    <w:rsid w:val="009B0089"/>
    <w:rsid w:val="009B035B"/>
    <w:rsid w:val="009B054D"/>
    <w:rsid w:val="009B0965"/>
    <w:rsid w:val="009B0B1A"/>
    <w:rsid w:val="009B0E19"/>
    <w:rsid w:val="009B137D"/>
    <w:rsid w:val="009B1768"/>
    <w:rsid w:val="009B24F7"/>
    <w:rsid w:val="009B2DDA"/>
    <w:rsid w:val="009B2E0E"/>
    <w:rsid w:val="009B3039"/>
    <w:rsid w:val="009B3183"/>
    <w:rsid w:val="009B3546"/>
    <w:rsid w:val="009B3B18"/>
    <w:rsid w:val="009B3C8B"/>
    <w:rsid w:val="009B42F5"/>
    <w:rsid w:val="009B5397"/>
    <w:rsid w:val="009B54E0"/>
    <w:rsid w:val="009B5D8C"/>
    <w:rsid w:val="009B5D8F"/>
    <w:rsid w:val="009B6023"/>
    <w:rsid w:val="009B60AF"/>
    <w:rsid w:val="009B61FE"/>
    <w:rsid w:val="009B6C02"/>
    <w:rsid w:val="009B6DAD"/>
    <w:rsid w:val="009B6F06"/>
    <w:rsid w:val="009B71A3"/>
    <w:rsid w:val="009B7BE0"/>
    <w:rsid w:val="009C099C"/>
    <w:rsid w:val="009C0A99"/>
    <w:rsid w:val="009C2304"/>
    <w:rsid w:val="009C23A5"/>
    <w:rsid w:val="009C3940"/>
    <w:rsid w:val="009C47BA"/>
    <w:rsid w:val="009C4D15"/>
    <w:rsid w:val="009C53AB"/>
    <w:rsid w:val="009C54C6"/>
    <w:rsid w:val="009C55AA"/>
    <w:rsid w:val="009C571C"/>
    <w:rsid w:val="009C585E"/>
    <w:rsid w:val="009C588C"/>
    <w:rsid w:val="009C595D"/>
    <w:rsid w:val="009C5CE7"/>
    <w:rsid w:val="009C5D1E"/>
    <w:rsid w:val="009C68E3"/>
    <w:rsid w:val="009C732F"/>
    <w:rsid w:val="009C78FA"/>
    <w:rsid w:val="009D02D5"/>
    <w:rsid w:val="009D0AF6"/>
    <w:rsid w:val="009D0F16"/>
    <w:rsid w:val="009D155E"/>
    <w:rsid w:val="009D1579"/>
    <w:rsid w:val="009D1A1B"/>
    <w:rsid w:val="009D2C82"/>
    <w:rsid w:val="009D2EF4"/>
    <w:rsid w:val="009D34D8"/>
    <w:rsid w:val="009D3B87"/>
    <w:rsid w:val="009D3FA4"/>
    <w:rsid w:val="009D40EC"/>
    <w:rsid w:val="009D42D8"/>
    <w:rsid w:val="009D4939"/>
    <w:rsid w:val="009D4FD9"/>
    <w:rsid w:val="009D587E"/>
    <w:rsid w:val="009D588C"/>
    <w:rsid w:val="009D5E56"/>
    <w:rsid w:val="009D61B3"/>
    <w:rsid w:val="009D64AB"/>
    <w:rsid w:val="009D6C12"/>
    <w:rsid w:val="009D73E5"/>
    <w:rsid w:val="009E0028"/>
    <w:rsid w:val="009E0B3F"/>
    <w:rsid w:val="009E17A9"/>
    <w:rsid w:val="009E1CC6"/>
    <w:rsid w:val="009E1D92"/>
    <w:rsid w:val="009E1E45"/>
    <w:rsid w:val="009E29E2"/>
    <w:rsid w:val="009E3703"/>
    <w:rsid w:val="009E4555"/>
    <w:rsid w:val="009E48D6"/>
    <w:rsid w:val="009E4CD2"/>
    <w:rsid w:val="009E4E33"/>
    <w:rsid w:val="009E574A"/>
    <w:rsid w:val="009E61FD"/>
    <w:rsid w:val="009E62ED"/>
    <w:rsid w:val="009E649B"/>
    <w:rsid w:val="009E6BFD"/>
    <w:rsid w:val="009E6D82"/>
    <w:rsid w:val="009E734A"/>
    <w:rsid w:val="009E78BD"/>
    <w:rsid w:val="009F0A0A"/>
    <w:rsid w:val="009F2211"/>
    <w:rsid w:val="009F24DD"/>
    <w:rsid w:val="009F27DE"/>
    <w:rsid w:val="009F3095"/>
    <w:rsid w:val="009F35B1"/>
    <w:rsid w:val="009F3664"/>
    <w:rsid w:val="009F3BBB"/>
    <w:rsid w:val="009F3C3A"/>
    <w:rsid w:val="009F4112"/>
    <w:rsid w:val="009F4583"/>
    <w:rsid w:val="009F49E4"/>
    <w:rsid w:val="009F4AA8"/>
    <w:rsid w:val="009F542C"/>
    <w:rsid w:val="009F5B1C"/>
    <w:rsid w:val="009F5D1E"/>
    <w:rsid w:val="009F609D"/>
    <w:rsid w:val="009F61F9"/>
    <w:rsid w:val="009F65BC"/>
    <w:rsid w:val="009F6A25"/>
    <w:rsid w:val="009F6E66"/>
    <w:rsid w:val="009F6FCA"/>
    <w:rsid w:val="009F7186"/>
    <w:rsid w:val="009F7602"/>
    <w:rsid w:val="009F7A93"/>
    <w:rsid w:val="00A000F3"/>
    <w:rsid w:val="00A00265"/>
    <w:rsid w:val="00A004CD"/>
    <w:rsid w:val="00A0122D"/>
    <w:rsid w:val="00A01412"/>
    <w:rsid w:val="00A01CD8"/>
    <w:rsid w:val="00A01F15"/>
    <w:rsid w:val="00A02141"/>
    <w:rsid w:val="00A026D2"/>
    <w:rsid w:val="00A02DCE"/>
    <w:rsid w:val="00A02ECB"/>
    <w:rsid w:val="00A0328C"/>
    <w:rsid w:val="00A032ED"/>
    <w:rsid w:val="00A03467"/>
    <w:rsid w:val="00A037F0"/>
    <w:rsid w:val="00A039DD"/>
    <w:rsid w:val="00A03BC0"/>
    <w:rsid w:val="00A04661"/>
    <w:rsid w:val="00A04B26"/>
    <w:rsid w:val="00A04B2E"/>
    <w:rsid w:val="00A051FC"/>
    <w:rsid w:val="00A052CE"/>
    <w:rsid w:val="00A05FAB"/>
    <w:rsid w:val="00A06B3C"/>
    <w:rsid w:val="00A0719C"/>
    <w:rsid w:val="00A07B8D"/>
    <w:rsid w:val="00A1003E"/>
    <w:rsid w:val="00A103EA"/>
    <w:rsid w:val="00A107B3"/>
    <w:rsid w:val="00A10891"/>
    <w:rsid w:val="00A10A28"/>
    <w:rsid w:val="00A10E58"/>
    <w:rsid w:val="00A118E7"/>
    <w:rsid w:val="00A11978"/>
    <w:rsid w:val="00A11F23"/>
    <w:rsid w:val="00A12812"/>
    <w:rsid w:val="00A12946"/>
    <w:rsid w:val="00A129ED"/>
    <w:rsid w:val="00A12D0F"/>
    <w:rsid w:val="00A13299"/>
    <w:rsid w:val="00A1339F"/>
    <w:rsid w:val="00A13CED"/>
    <w:rsid w:val="00A143B9"/>
    <w:rsid w:val="00A14AFF"/>
    <w:rsid w:val="00A15047"/>
    <w:rsid w:val="00A154B4"/>
    <w:rsid w:val="00A15785"/>
    <w:rsid w:val="00A160B4"/>
    <w:rsid w:val="00A163C0"/>
    <w:rsid w:val="00A171D0"/>
    <w:rsid w:val="00A171FC"/>
    <w:rsid w:val="00A17213"/>
    <w:rsid w:val="00A20512"/>
    <w:rsid w:val="00A2054A"/>
    <w:rsid w:val="00A20562"/>
    <w:rsid w:val="00A213A8"/>
    <w:rsid w:val="00A21C27"/>
    <w:rsid w:val="00A21E21"/>
    <w:rsid w:val="00A22D8E"/>
    <w:rsid w:val="00A23130"/>
    <w:rsid w:val="00A2330B"/>
    <w:rsid w:val="00A23379"/>
    <w:rsid w:val="00A236AC"/>
    <w:rsid w:val="00A23936"/>
    <w:rsid w:val="00A23BC0"/>
    <w:rsid w:val="00A244CF"/>
    <w:rsid w:val="00A24977"/>
    <w:rsid w:val="00A24F2F"/>
    <w:rsid w:val="00A25F8D"/>
    <w:rsid w:val="00A26665"/>
    <w:rsid w:val="00A2683A"/>
    <w:rsid w:val="00A27191"/>
    <w:rsid w:val="00A27B00"/>
    <w:rsid w:val="00A3004B"/>
    <w:rsid w:val="00A30E51"/>
    <w:rsid w:val="00A30F32"/>
    <w:rsid w:val="00A316A9"/>
    <w:rsid w:val="00A31708"/>
    <w:rsid w:val="00A319F3"/>
    <w:rsid w:val="00A31B4F"/>
    <w:rsid w:val="00A31F77"/>
    <w:rsid w:val="00A322B9"/>
    <w:rsid w:val="00A323E5"/>
    <w:rsid w:val="00A32990"/>
    <w:rsid w:val="00A3324F"/>
    <w:rsid w:val="00A33640"/>
    <w:rsid w:val="00A342AF"/>
    <w:rsid w:val="00A344ED"/>
    <w:rsid w:val="00A34FD9"/>
    <w:rsid w:val="00A3563B"/>
    <w:rsid w:val="00A3587A"/>
    <w:rsid w:val="00A36311"/>
    <w:rsid w:val="00A369D7"/>
    <w:rsid w:val="00A36C90"/>
    <w:rsid w:val="00A36CBB"/>
    <w:rsid w:val="00A36EF6"/>
    <w:rsid w:val="00A36FAC"/>
    <w:rsid w:val="00A37E68"/>
    <w:rsid w:val="00A4100F"/>
    <w:rsid w:val="00A419BB"/>
    <w:rsid w:val="00A422E1"/>
    <w:rsid w:val="00A437A2"/>
    <w:rsid w:val="00A43856"/>
    <w:rsid w:val="00A43CC5"/>
    <w:rsid w:val="00A44070"/>
    <w:rsid w:val="00A4429A"/>
    <w:rsid w:val="00A44678"/>
    <w:rsid w:val="00A44BCE"/>
    <w:rsid w:val="00A44C58"/>
    <w:rsid w:val="00A44C62"/>
    <w:rsid w:val="00A45D17"/>
    <w:rsid w:val="00A45EE3"/>
    <w:rsid w:val="00A46085"/>
    <w:rsid w:val="00A50060"/>
    <w:rsid w:val="00A5051A"/>
    <w:rsid w:val="00A505F7"/>
    <w:rsid w:val="00A5149D"/>
    <w:rsid w:val="00A51EE7"/>
    <w:rsid w:val="00A51F3D"/>
    <w:rsid w:val="00A52001"/>
    <w:rsid w:val="00A522CE"/>
    <w:rsid w:val="00A52486"/>
    <w:rsid w:val="00A52F5B"/>
    <w:rsid w:val="00A533C5"/>
    <w:rsid w:val="00A5344A"/>
    <w:rsid w:val="00A540A6"/>
    <w:rsid w:val="00A540BE"/>
    <w:rsid w:val="00A546C8"/>
    <w:rsid w:val="00A54C09"/>
    <w:rsid w:val="00A54E0B"/>
    <w:rsid w:val="00A54F6D"/>
    <w:rsid w:val="00A5583A"/>
    <w:rsid w:val="00A5595E"/>
    <w:rsid w:val="00A55C68"/>
    <w:rsid w:val="00A56DE4"/>
    <w:rsid w:val="00A575EC"/>
    <w:rsid w:val="00A57C6D"/>
    <w:rsid w:val="00A57DCB"/>
    <w:rsid w:val="00A60362"/>
    <w:rsid w:val="00A60F2C"/>
    <w:rsid w:val="00A61286"/>
    <w:rsid w:val="00A61316"/>
    <w:rsid w:val="00A61444"/>
    <w:rsid w:val="00A614B3"/>
    <w:rsid w:val="00A61E32"/>
    <w:rsid w:val="00A62177"/>
    <w:rsid w:val="00A62218"/>
    <w:rsid w:val="00A622DC"/>
    <w:rsid w:val="00A625EB"/>
    <w:rsid w:val="00A6260B"/>
    <w:rsid w:val="00A63451"/>
    <w:rsid w:val="00A63463"/>
    <w:rsid w:val="00A63A64"/>
    <w:rsid w:val="00A63E6E"/>
    <w:rsid w:val="00A64194"/>
    <w:rsid w:val="00A642AB"/>
    <w:rsid w:val="00A647A2"/>
    <w:rsid w:val="00A64D43"/>
    <w:rsid w:val="00A65F73"/>
    <w:rsid w:val="00A66730"/>
    <w:rsid w:val="00A66C4D"/>
    <w:rsid w:val="00A671B7"/>
    <w:rsid w:val="00A67563"/>
    <w:rsid w:val="00A67615"/>
    <w:rsid w:val="00A700DC"/>
    <w:rsid w:val="00A7125E"/>
    <w:rsid w:val="00A72335"/>
    <w:rsid w:val="00A724F8"/>
    <w:rsid w:val="00A72510"/>
    <w:rsid w:val="00A726E4"/>
    <w:rsid w:val="00A72ACE"/>
    <w:rsid w:val="00A72AF6"/>
    <w:rsid w:val="00A73435"/>
    <w:rsid w:val="00A7384C"/>
    <w:rsid w:val="00A73C8C"/>
    <w:rsid w:val="00A747EE"/>
    <w:rsid w:val="00A74B9E"/>
    <w:rsid w:val="00A74E9F"/>
    <w:rsid w:val="00A752E0"/>
    <w:rsid w:val="00A75A6C"/>
    <w:rsid w:val="00A75DDE"/>
    <w:rsid w:val="00A7616C"/>
    <w:rsid w:val="00A76F42"/>
    <w:rsid w:val="00A77121"/>
    <w:rsid w:val="00A77AE0"/>
    <w:rsid w:val="00A77AF4"/>
    <w:rsid w:val="00A77CE5"/>
    <w:rsid w:val="00A804B7"/>
    <w:rsid w:val="00A80A71"/>
    <w:rsid w:val="00A80B26"/>
    <w:rsid w:val="00A80EA2"/>
    <w:rsid w:val="00A813D8"/>
    <w:rsid w:val="00A8147B"/>
    <w:rsid w:val="00A81B29"/>
    <w:rsid w:val="00A82436"/>
    <w:rsid w:val="00A82A66"/>
    <w:rsid w:val="00A83366"/>
    <w:rsid w:val="00A839A7"/>
    <w:rsid w:val="00A847B8"/>
    <w:rsid w:val="00A84E10"/>
    <w:rsid w:val="00A84FF3"/>
    <w:rsid w:val="00A852C5"/>
    <w:rsid w:val="00A856CA"/>
    <w:rsid w:val="00A8669F"/>
    <w:rsid w:val="00A87185"/>
    <w:rsid w:val="00A8767B"/>
    <w:rsid w:val="00A87EE5"/>
    <w:rsid w:val="00A900B6"/>
    <w:rsid w:val="00A904CB"/>
    <w:rsid w:val="00A90EE5"/>
    <w:rsid w:val="00A913E6"/>
    <w:rsid w:val="00A921EA"/>
    <w:rsid w:val="00A92465"/>
    <w:rsid w:val="00A9310C"/>
    <w:rsid w:val="00A93BCF"/>
    <w:rsid w:val="00A93F72"/>
    <w:rsid w:val="00A940B6"/>
    <w:rsid w:val="00A94529"/>
    <w:rsid w:val="00A945EC"/>
    <w:rsid w:val="00A9487C"/>
    <w:rsid w:val="00A94AC3"/>
    <w:rsid w:val="00A94CF9"/>
    <w:rsid w:val="00A951F1"/>
    <w:rsid w:val="00A9599A"/>
    <w:rsid w:val="00A95A6A"/>
    <w:rsid w:val="00A95F78"/>
    <w:rsid w:val="00A96165"/>
    <w:rsid w:val="00A965B6"/>
    <w:rsid w:val="00A965E6"/>
    <w:rsid w:val="00A96CDE"/>
    <w:rsid w:val="00A97256"/>
    <w:rsid w:val="00A978B6"/>
    <w:rsid w:val="00AA1014"/>
    <w:rsid w:val="00AA11DC"/>
    <w:rsid w:val="00AA15F5"/>
    <w:rsid w:val="00AA16E0"/>
    <w:rsid w:val="00AA1711"/>
    <w:rsid w:val="00AA1E70"/>
    <w:rsid w:val="00AA2594"/>
    <w:rsid w:val="00AA2A81"/>
    <w:rsid w:val="00AA2DF7"/>
    <w:rsid w:val="00AA2E9D"/>
    <w:rsid w:val="00AA37AE"/>
    <w:rsid w:val="00AA3966"/>
    <w:rsid w:val="00AA3FB3"/>
    <w:rsid w:val="00AA4498"/>
    <w:rsid w:val="00AA45E5"/>
    <w:rsid w:val="00AA4F68"/>
    <w:rsid w:val="00AA51E8"/>
    <w:rsid w:val="00AA5245"/>
    <w:rsid w:val="00AA536E"/>
    <w:rsid w:val="00AA597C"/>
    <w:rsid w:val="00AA652A"/>
    <w:rsid w:val="00AA674C"/>
    <w:rsid w:val="00AA69D8"/>
    <w:rsid w:val="00AA6BD9"/>
    <w:rsid w:val="00AA74C0"/>
    <w:rsid w:val="00AA7CAD"/>
    <w:rsid w:val="00AB0002"/>
    <w:rsid w:val="00AB045A"/>
    <w:rsid w:val="00AB0FF5"/>
    <w:rsid w:val="00AB1155"/>
    <w:rsid w:val="00AB13B1"/>
    <w:rsid w:val="00AB2223"/>
    <w:rsid w:val="00AB2346"/>
    <w:rsid w:val="00AB235E"/>
    <w:rsid w:val="00AB244E"/>
    <w:rsid w:val="00AB2B78"/>
    <w:rsid w:val="00AB2D1C"/>
    <w:rsid w:val="00AB2DA0"/>
    <w:rsid w:val="00AB3555"/>
    <w:rsid w:val="00AB3B63"/>
    <w:rsid w:val="00AB3E60"/>
    <w:rsid w:val="00AB41FD"/>
    <w:rsid w:val="00AB4261"/>
    <w:rsid w:val="00AB471A"/>
    <w:rsid w:val="00AB4819"/>
    <w:rsid w:val="00AB48CE"/>
    <w:rsid w:val="00AB4AEB"/>
    <w:rsid w:val="00AB5478"/>
    <w:rsid w:val="00AB567D"/>
    <w:rsid w:val="00AB5885"/>
    <w:rsid w:val="00AB58D1"/>
    <w:rsid w:val="00AB5901"/>
    <w:rsid w:val="00AB621C"/>
    <w:rsid w:val="00AB624B"/>
    <w:rsid w:val="00AB661F"/>
    <w:rsid w:val="00AB7D7E"/>
    <w:rsid w:val="00AC023D"/>
    <w:rsid w:val="00AC0D10"/>
    <w:rsid w:val="00AC15FF"/>
    <w:rsid w:val="00AC243F"/>
    <w:rsid w:val="00AC2CAD"/>
    <w:rsid w:val="00AC2E48"/>
    <w:rsid w:val="00AC32B1"/>
    <w:rsid w:val="00AC3602"/>
    <w:rsid w:val="00AC4291"/>
    <w:rsid w:val="00AC429E"/>
    <w:rsid w:val="00AC4791"/>
    <w:rsid w:val="00AC49F6"/>
    <w:rsid w:val="00AC58E6"/>
    <w:rsid w:val="00AC5A7A"/>
    <w:rsid w:val="00AC5C46"/>
    <w:rsid w:val="00AC639F"/>
    <w:rsid w:val="00AC67C0"/>
    <w:rsid w:val="00AC6919"/>
    <w:rsid w:val="00AC6E04"/>
    <w:rsid w:val="00AC6FA5"/>
    <w:rsid w:val="00AC75DA"/>
    <w:rsid w:val="00AC763E"/>
    <w:rsid w:val="00AC78FD"/>
    <w:rsid w:val="00AC7A86"/>
    <w:rsid w:val="00AC7D29"/>
    <w:rsid w:val="00AD002D"/>
    <w:rsid w:val="00AD013B"/>
    <w:rsid w:val="00AD06F5"/>
    <w:rsid w:val="00AD0C2E"/>
    <w:rsid w:val="00AD0EB0"/>
    <w:rsid w:val="00AD11B2"/>
    <w:rsid w:val="00AD12C1"/>
    <w:rsid w:val="00AD13B7"/>
    <w:rsid w:val="00AD2472"/>
    <w:rsid w:val="00AD295E"/>
    <w:rsid w:val="00AD2CCC"/>
    <w:rsid w:val="00AD3158"/>
    <w:rsid w:val="00AD3572"/>
    <w:rsid w:val="00AD35F0"/>
    <w:rsid w:val="00AD368B"/>
    <w:rsid w:val="00AD38CE"/>
    <w:rsid w:val="00AD3913"/>
    <w:rsid w:val="00AD3CF7"/>
    <w:rsid w:val="00AD3CF9"/>
    <w:rsid w:val="00AD4104"/>
    <w:rsid w:val="00AD4773"/>
    <w:rsid w:val="00AD4B3F"/>
    <w:rsid w:val="00AD50F1"/>
    <w:rsid w:val="00AD531F"/>
    <w:rsid w:val="00AD5582"/>
    <w:rsid w:val="00AD5DAE"/>
    <w:rsid w:val="00AD5DC9"/>
    <w:rsid w:val="00AD6CC7"/>
    <w:rsid w:val="00AD6DB3"/>
    <w:rsid w:val="00AD7F83"/>
    <w:rsid w:val="00AE0001"/>
    <w:rsid w:val="00AE00BC"/>
    <w:rsid w:val="00AE0421"/>
    <w:rsid w:val="00AE04A7"/>
    <w:rsid w:val="00AE0931"/>
    <w:rsid w:val="00AE13F6"/>
    <w:rsid w:val="00AE1528"/>
    <w:rsid w:val="00AE18F9"/>
    <w:rsid w:val="00AE1CCE"/>
    <w:rsid w:val="00AE1E4E"/>
    <w:rsid w:val="00AE1F77"/>
    <w:rsid w:val="00AE2307"/>
    <w:rsid w:val="00AE2503"/>
    <w:rsid w:val="00AE293D"/>
    <w:rsid w:val="00AE359B"/>
    <w:rsid w:val="00AE41EB"/>
    <w:rsid w:val="00AE46E2"/>
    <w:rsid w:val="00AE47AF"/>
    <w:rsid w:val="00AE4B77"/>
    <w:rsid w:val="00AE68EE"/>
    <w:rsid w:val="00AF0542"/>
    <w:rsid w:val="00AF0978"/>
    <w:rsid w:val="00AF0A3B"/>
    <w:rsid w:val="00AF0BA0"/>
    <w:rsid w:val="00AF0E81"/>
    <w:rsid w:val="00AF199D"/>
    <w:rsid w:val="00AF1DCB"/>
    <w:rsid w:val="00AF1EFF"/>
    <w:rsid w:val="00AF25F7"/>
    <w:rsid w:val="00AF272A"/>
    <w:rsid w:val="00AF2C0A"/>
    <w:rsid w:val="00AF2C70"/>
    <w:rsid w:val="00AF3887"/>
    <w:rsid w:val="00AF3B9B"/>
    <w:rsid w:val="00AF3C75"/>
    <w:rsid w:val="00AF40FB"/>
    <w:rsid w:val="00AF4261"/>
    <w:rsid w:val="00AF5287"/>
    <w:rsid w:val="00AF5328"/>
    <w:rsid w:val="00AF588D"/>
    <w:rsid w:val="00AF5A89"/>
    <w:rsid w:val="00AF5B67"/>
    <w:rsid w:val="00AF5F2C"/>
    <w:rsid w:val="00AF5FF8"/>
    <w:rsid w:val="00AF67D6"/>
    <w:rsid w:val="00AF70CE"/>
    <w:rsid w:val="00B006C6"/>
    <w:rsid w:val="00B009F7"/>
    <w:rsid w:val="00B00CCF"/>
    <w:rsid w:val="00B00E5D"/>
    <w:rsid w:val="00B02394"/>
    <w:rsid w:val="00B032F6"/>
    <w:rsid w:val="00B03342"/>
    <w:rsid w:val="00B034E0"/>
    <w:rsid w:val="00B038EE"/>
    <w:rsid w:val="00B0438B"/>
    <w:rsid w:val="00B043CB"/>
    <w:rsid w:val="00B0459C"/>
    <w:rsid w:val="00B04600"/>
    <w:rsid w:val="00B04997"/>
    <w:rsid w:val="00B04E3E"/>
    <w:rsid w:val="00B052A4"/>
    <w:rsid w:val="00B05498"/>
    <w:rsid w:val="00B056D6"/>
    <w:rsid w:val="00B05CFE"/>
    <w:rsid w:val="00B06281"/>
    <w:rsid w:val="00B06B51"/>
    <w:rsid w:val="00B06BE1"/>
    <w:rsid w:val="00B06CC6"/>
    <w:rsid w:val="00B07687"/>
    <w:rsid w:val="00B077A8"/>
    <w:rsid w:val="00B07A63"/>
    <w:rsid w:val="00B07B53"/>
    <w:rsid w:val="00B07EB5"/>
    <w:rsid w:val="00B1011B"/>
    <w:rsid w:val="00B102B5"/>
    <w:rsid w:val="00B109A7"/>
    <w:rsid w:val="00B10AC9"/>
    <w:rsid w:val="00B10B20"/>
    <w:rsid w:val="00B10B8C"/>
    <w:rsid w:val="00B10D50"/>
    <w:rsid w:val="00B10EBF"/>
    <w:rsid w:val="00B111E9"/>
    <w:rsid w:val="00B12253"/>
    <w:rsid w:val="00B123E9"/>
    <w:rsid w:val="00B12450"/>
    <w:rsid w:val="00B12455"/>
    <w:rsid w:val="00B13063"/>
    <w:rsid w:val="00B133B3"/>
    <w:rsid w:val="00B13974"/>
    <w:rsid w:val="00B13F3C"/>
    <w:rsid w:val="00B140EA"/>
    <w:rsid w:val="00B14990"/>
    <w:rsid w:val="00B14FCB"/>
    <w:rsid w:val="00B1579B"/>
    <w:rsid w:val="00B15ECF"/>
    <w:rsid w:val="00B16706"/>
    <w:rsid w:val="00B171CB"/>
    <w:rsid w:val="00B2045B"/>
    <w:rsid w:val="00B20615"/>
    <w:rsid w:val="00B20A78"/>
    <w:rsid w:val="00B20C77"/>
    <w:rsid w:val="00B20EEE"/>
    <w:rsid w:val="00B226EC"/>
    <w:rsid w:val="00B22D7F"/>
    <w:rsid w:val="00B230F1"/>
    <w:rsid w:val="00B243C9"/>
    <w:rsid w:val="00B2454A"/>
    <w:rsid w:val="00B245AE"/>
    <w:rsid w:val="00B24E90"/>
    <w:rsid w:val="00B25073"/>
    <w:rsid w:val="00B250DD"/>
    <w:rsid w:val="00B253F4"/>
    <w:rsid w:val="00B258F9"/>
    <w:rsid w:val="00B26028"/>
    <w:rsid w:val="00B26509"/>
    <w:rsid w:val="00B268C8"/>
    <w:rsid w:val="00B2695B"/>
    <w:rsid w:val="00B26AA1"/>
    <w:rsid w:val="00B26AB3"/>
    <w:rsid w:val="00B26FD0"/>
    <w:rsid w:val="00B27722"/>
    <w:rsid w:val="00B27DC0"/>
    <w:rsid w:val="00B30E13"/>
    <w:rsid w:val="00B3119A"/>
    <w:rsid w:val="00B3119B"/>
    <w:rsid w:val="00B31343"/>
    <w:rsid w:val="00B31549"/>
    <w:rsid w:val="00B31AAF"/>
    <w:rsid w:val="00B3244F"/>
    <w:rsid w:val="00B3260F"/>
    <w:rsid w:val="00B327E3"/>
    <w:rsid w:val="00B33EAF"/>
    <w:rsid w:val="00B34226"/>
    <w:rsid w:val="00B343C4"/>
    <w:rsid w:val="00B343D0"/>
    <w:rsid w:val="00B34E53"/>
    <w:rsid w:val="00B3572E"/>
    <w:rsid w:val="00B35CB0"/>
    <w:rsid w:val="00B3625C"/>
    <w:rsid w:val="00B36782"/>
    <w:rsid w:val="00B376FF"/>
    <w:rsid w:val="00B400A6"/>
    <w:rsid w:val="00B4032E"/>
    <w:rsid w:val="00B40744"/>
    <w:rsid w:val="00B41A81"/>
    <w:rsid w:val="00B41B07"/>
    <w:rsid w:val="00B41C21"/>
    <w:rsid w:val="00B41DD0"/>
    <w:rsid w:val="00B424AE"/>
    <w:rsid w:val="00B42CBC"/>
    <w:rsid w:val="00B459EE"/>
    <w:rsid w:val="00B469D8"/>
    <w:rsid w:val="00B4714F"/>
    <w:rsid w:val="00B47967"/>
    <w:rsid w:val="00B47ECB"/>
    <w:rsid w:val="00B5091C"/>
    <w:rsid w:val="00B50948"/>
    <w:rsid w:val="00B51149"/>
    <w:rsid w:val="00B5126A"/>
    <w:rsid w:val="00B51EA2"/>
    <w:rsid w:val="00B51F95"/>
    <w:rsid w:val="00B5209E"/>
    <w:rsid w:val="00B52A4E"/>
    <w:rsid w:val="00B52B43"/>
    <w:rsid w:val="00B52BF7"/>
    <w:rsid w:val="00B52CB7"/>
    <w:rsid w:val="00B533E5"/>
    <w:rsid w:val="00B5357C"/>
    <w:rsid w:val="00B53F6B"/>
    <w:rsid w:val="00B540BE"/>
    <w:rsid w:val="00B541D1"/>
    <w:rsid w:val="00B5440A"/>
    <w:rsid w:val="00B547A7"/>
    <w:rsid w:val="00B54EF2"/>
    <w:rsid w:val="00B55155"/>
    <w:rsid w:val="00B554AF"/>
    <w:rsid w:val="00B5583B"/>
    <w:rsid w:val="00B55E7F"/>
    <w:rsid w:val="00B56205"/>
    <w:rsid w:val="00B56371"/>
    <w:rsid w:val="00B56585"/>
    <w:rsid w:val="00B56CD5"/>
    <w:rsid w:val="00B571DA"/>
    <w:rsid w:val="00B572AA"/>
    <w:rsid w:val="00B5796C"/>
    <w:rsid w:val="00B60067"/>
    <w:rsid w:val="00B60313"/>
    <w:rsid w:val="00B606F5"/>
    <w:rsid w:val="00B60BB4"/>
    <w:rsid w:val="00B61515"/>
    <w:rsid w:val="00B621DD"/>
    <w:rsid w:val="00B627B4"/>
    <w:rsid w:val="00B62907"/>
    <w:rsid w:val="00B630A4"/>
    <w:rsid w:val="00B63298"/>
    <w:rsid w:val="00B64AE5"/>
    <w:rsid w:val="00B64EBE"/>
    <w:rsid w:val="00B663F4"/>
    <w:rsid w:val="00B66629"/>
    <w:rsid w:val="00B66B58"/>
    <w:rsid w:val="00B66FFE"/>
    <w:rsid w:val="00B6737F"/>
    <w:rsid w:val="00B677D6"/>
    <w:rsid w:val="00B679AA"/>
    <w:rsid w:val="00B67F43"/>
    <w:rsid w:val="00B67F86"/>
    <w:rsid w:val="00B700F7"/>
    <w:rsid w:val="00B706C8"/>
    <w:rsid w:val="00B70BA3"/>
    <w:rsid w:val="00B70BC6"/>
    <w:rsid w:val="00B70D75"/>
    <w:rsid w:val="00B70DAB"/>
    <w:rsid w:val="00B7168D"/>
    <w:rsid w:val="00B716B3"/>
    <w:rsid w:val="00B72B71"/>
    <w:rsid w:val="00B7302C"/>
    <w:rsid w:val="00B7347F"/>
    <w:rsid w:val="00B73B6C"/>
    <w:rsid w:val="00B73C0E"/>
    <w:rsid w:val="00B73CB0"/>
    <w:rsid w:val="00B75056"/>
    <w:rsid w:val="00B7587A"/>
    <w:rsid w:val="00B76CA9"/>
    <w:rsid w:val="00B80243"/>
    <w:rsid w:val="00B81079"/>
    <w:rsid w:val="00B81176"/>
    <w:rsid w:val="00B81AB6"/>
    <w:rsid w:val="00B81DC9"/>
    <w:rsid w:val="00B81F71"/>
    <w:rsid w:val="00B8254D"/>
    <w:rsid w:val="00B82877"/>
    <w:rsid w:val="00B82C8E"/>
    <w:rsid w:val="00B82CB7"/>
    <w:rsid w:val="00B83CB6"/>
    <w:rsid w:val="00B85736"/>
    <w:rsid w:val="00B85AF3"/>
    <w:rsid w:val="00B85C8C"/>
    <w:rsid w:val="00B862EA"/>
    <w:rsid w:val="00B86617"/>
    <w:rsid w:val="00B86866"/>
    <w:rsid w:val="00B8762D"/>
    <w:rsid w:val="00B87759"/>
    <w:rsid w:val="00B87AF2"/>
    <w:rsid w:val="00B87BF1"/>
    <w:rsid w:val="00B90886"/>
    <w:rsid w:val="00B909A7"/>
    <w:rsid w:val="00B90D1B"/>
    <w:rsid w:val="00B91020"/>
    <w:rsid w:val="00B91060"/>
    <w:rsid w:val="00B91084"/>
    <w:rsid w:val="00B91460"/>
    <w:rsid w:val="00B915D2"/>
    <w:rsid w:val="00B920EA"/>
    <w:rsid w:val="00B92E85"/>
    <w:rsid w:val="00B930F4"/>
    <w:rsid w:val="00B93225"/>
    <w:rsid w:val="00B9322A"/>
    <w:rsid w:val="00B936FD"/>
    <w:rsid w:val="00B93C01"/>
    <w:rsid w:val="00B93C99"/>
    <w:rsid w:val="00B9412A"/>
    <w:rsid w:val="00B945E4"/>
    <w:rsid w:val="00B946A8"/>
    <w:rsid w:val="00B9517D"/>
    <w:rsid w:val="00B9584F"/>
    <w:rsid w:val="00B95870"/>
    <w:rsid w:val="00B95A2D"/>
    <w:rsid w:val="00B95BB9"/>
    <w:rsid w:val="00B96419"/>
    <w:rsid w:val="00B96963"/>
    <w:rsid w:val="00B96F6B"/>
    <w:rsid w:val="00B97720"/>
    <w:rsid w:val="00BA0DC5"/>
    <w:rsid w:val="00BA25D1"/>
    <w:rsid w:val="00BA284C"/>
    <w:rsid w:val="00BA2A45"/>
    <w:rsid w:val="00BA2D8D"/>
    <w:rsid w:val="00BA3103"/>
    <w:rsid w:val="00BA3161"/>
    <w:rsid w:val="00BA3592"/>
    <w:rsid w:val="00BA3661"/>
    <w:rsid w:val="00BA3B11"/>
    <w:rsid w:val="00BA3F67"/>
    <w:rsid w:val="00BA4225"/>
    <w:rsid w:val="00BA4581"/>
    <w:rsid w:val="00BA4A69"/>
    <w:rsid w:val="00BA5338"/>
    <w:rsid w:val="00BA56EB"/>
    <w:rsid w:val="00BA58CD"/>
    <w:rsid w:val="00BA5D8E"/>
    <w:rsid w:val="00BA5F75"/>
    <w:rsid w:val="00BA6651"/>
    <w:rsid w:val="00BA6A08"/>
    <w:rsid w:val="00BA6E04"/>
    <w:rsid w:val="00BA7DB9"/>
    <w:rsid w:val="00BB140B"/>
    <w:rsid w:val="00BB1DAF"/>
    <w:rsid w:val="00BB23AB"/>
    <w:rsid w:val="00BB2608"/>
    <w:rsid w:val="00BB2A49"/>
    <w:rsid w:val="00BB2E01"/>
    <w:rsid w:val="00BB2E34"/>
    <w:rsid w:val="00BB3694"/>
    <w:rsid w:val="00BB3EFC"/>
    <w:rsid w:val="00BB4107"/>
    <w:rsid w:val="00BB4B21"/>
    <w:rsid w:val="00BB4FDE"/>
    <w:rsid w:val="00BB5347"/>
    <w:rsid w:val="00BB5890"/>
    <w:rsid w:val="00BB5AD0"/>
    <w:rsid w:val="00BB5B2E"/>
    <w:rsid w:val="00BB5C2A"/>
    <w:rsid w:val="00BB5D4A"/>
    <w:rsid w:val="00BB6191"/>
    <w:rsid w:val="00BB6565"/>
    <w:rsid w:val="00BB69B1"/>
    <w:rsid w:val="00BB6AA2"/>
    <w:rsid w:val="00BB6C3D"/>
    <w:rsid w:val="00BB7180"/>
    <w:rsid w:val="00BB7563"/>
    <w:rsid w:val="00BB7CF9"/>
    <w:rsid w:val="00BC011F"/>
    <w:rsid w:val="00BC01BD"/>
    <w:rsid w:val="00BC037C"/>
    <w:rsid w:val="00BC0E6B"/>
    <w:rsid w:val="00BC121A"/>
    <w:rsid w:val="00BC14BE"/>
    <w:rsid w:val="00BC18C3"/>
    <w:rsid w:val="00BC256E"/>
    <w:rsid w:val="00BC2588"/>
    <w:rsid w:val="00BC3319"/>
    <w:rsid w:val="00BC3701"/>
    <w:rsid w:val="00BC386A"/>
    <w:rsid w:val="00BC3A80"/>
    <w:rsid w:val="00BC3E44"/>
    <w:rsid w:val="00BC3E6E"/>
    <w:rsid w:val="00BC4102"/>
    <w:rsid w:val="00BC41D2"/>
    <w:rsid w:val="00BC4A79"/>
    <w:rsid w:val="00BC4ABB"/>
    <w:rsid w:val="00BC4D9A"/>
    <w:rsid w:val="00BC4E6F"/>
    <w:rsid w:val="00BC507F"/>
    <w:rsid w:val="00BC5381"/>
    <w:rsid w:val="00BC6724"/>
    <w:rsid w:val="00BC7300"/>
    <w:rsid w:val="00BD028F"/>
    <w:rsid w:val="00BD0447"/>
    <w:rsid w:val="00BD0D26"/>
    <w:rsid w:val="00BD1140"/>
    <w:rsid w:val="00BD15D5"/>
    <w:rsid w:val="00BD256A"/>
    <w:rsid w:val="00BD273A"/>
    <w:rsid w:val="00BD2AF2"/>
    <w:rsid w:val="00BD3403"/>
    <w:rsid w:val="00BD36F2"/>
    <w:rsid w:val="00BD39BF"/>
    <w:rsid w:val="00BD3DAF"/>
    <w:rsid w:val="00BD45D8"/>
    <w:rsid w:val="00BD4B92"/>
    <w:rsid w:val="00BD4D4D"/>
    <w:rsid w:val="00BD50A9"/>
    <w:rsid w:val="00BD55EB"/>
    <w:rsid w:val="00BD5823"/>
    <w:rsid w:val="00BD5BC7"/>
    <w:rsid w:val="00BD6236"/>
    <w:rsid w:val="00BD64B4"/>
    <w:rsid w:val="00BD6992"/>
    <w:rsid w:val="00BD6B48"/>
    <w:rsid w:val="00BD6ECF"/>
    <w:rsid w:val="00BD6FEB"/>
    <w:rsid w:val="00BD7174"/>
    <w:rsid w:val="00BD721E"/>
    <w:rsid w:val="00BD7B3E"/>
    <w:rsid w:val="00BE03FE"/>
    <w:rsid w:val="00BE08E0"/>
    <w:rsid w:val="00BE0950"/>
    <w:rsid w:val="00BE0F08"/>
    <w:rsid w:val="00BE1508"/>
    <w:rsid w:val="00BE1BC5"/>
    <w:rsid w:val="00BE200A"/>
    <w:rsid w:val="00BE2398"/>
    <w:rsid w:val="00BE2526"/>
    <w:rsid w:val="00BE260B"/>
    <w:rsid w:val="00BE3205"/>
    <w:rsid w:val="00BE3940"/>
    <w:rsid w:val="00BE39C6"/>
    <w:rsid w:val="00BE3B59"/>
    <w:rsid w:val="00BE3F7D"/>
    <w:rsid w:val="00BE436E"/>
    <w:rsid w:val="00BE4EED"/>
    <w:rsid w:val="00BE4F11"/>
    <w:rsid w:val="00BE4FD2"/>
    <w:rsid w:val="00BE5779"/>
    <w:rsid w:val="00BE58DE"/>
    <w:rsid w:val="00BE58F8"/>
    <w:rsid w:val="00BE5FDC"/>
    <w:rsid w:val="00BE654F"/>
    <w:rsid w:val="00BE6696"/>
    <w:rsid w:val="00BE6C61"/>
    <w:rsid w:val="00BE6DAC"/>
    <w:rsid w:val="00BE713E"/>
    <w:rsid w:val="00BE7B15"/>
    <w:rsid w:val="00BE7F36"/>
    <w:rsid w:val="00BF016A"/>
    <w:rsid w:val="00BF0369"/>
    <w:rsid w:val="00BF0F5C"/>
    <w:rsid w:val="00BF1441"/>
    <w:rsid w:val="00BF1448"/>
    <w:rsid w:val="00BF2299"/>
    <w:rsid w:val="00BF2BA0"/>
    <w:rsid w:val="00BF3166"/>
    <w:rsid w:val="00BF3A31"/>
    <w:rsid w:val="00BF3AE8"/>
    <w:rsid w:val="00BF3CCB"/>
    <w:rsid w:val="00BF4317"/>
    <w:rsid w:val="00BF446A"/>
    <w:rsid w:val="00BF4AD0"/>
    <w:rsid w:val="00BF4BD0"/>
    <w:rsid w:val="00BF4C66"/>
    <w:rsid w:val="00BF4E23"/>
    <w:rsid w:val="00BF56FC"/>
    <w:rsid w:val="00BF58E6"/>
    <w:rsid w:val="00BF5C6F"/>
    <w:rsid w:val="00BF5D13"/>
    <w:rsid w:val="00BF5D53"/>
    <w:rsid w:val="00BF5DE7"/>
    <w:rsid w:val="00BF63A5"/>
    <w:rsid w:val="00BF63C7"/>
    <w:rsid w:val="00BF71A8"/>
    <w:rsid w:val="00C0088F"/>
    <w:rsid w:val="00C00AF7"/>
    <w:rsid w:val="00C01754"/>
    <w:rsid w:val="00C018EE"/>
    <w:rsid w:val="00C019B6"/>
    <w:rsid w:val="00C01A75"/>
    <w:rsid w:val="00C01EAC"/>
    <w:rsid w:val="00C01FAD"/>
    <w:rsid w:val="00C020AC"/>
    <w:rsid w:val="00C02510"/>
    <w:rsid w:val="00C02D1C"/>
    <w:rsid w:val="00C02D85"/>
    <w:rsid w:val="00C02E0D"/>
    <w:rsid w:val="00C02E32"/>
    <w:rsid w:val="00C03850"/>
    <w:rsid w:val="00C03959"/>
    <w:rsid w:val="00C03A3F"/>
    <w:rsid w:val="00C03A5D"/>
    <w:rsid w:val="00C03AAE"/>
    <w:rsid w:val="00C0493B"/>
    <w:rsid w:val="00C04A25"/>
    <w:rsid w:val="00C04F7E"/>
    <w:rsid w:val="00C0509E"/>
    <w:rsid w:val="00C052B8"/>
    <w:rsid w:val="00C0625B"/>
    <w:rsid w:val="00C06576"/>
    <w:rsid w:val="00C06C7B"/>
    <w:rsid w:val="00C06D65"/>
    <w:rsid w:val="00C06E6F"/>
    <w:rsid w:val="00C06F6B"/>
    <w:rsid w:val="00C06F8B"/>
    <w:rsid w:val="00C070A8"/>
    <w:rsid w:val="00C074E8"/>
    <w:rsid w:val="00C07CA5"/>
    <w:rsid w:val="00C10273"/>
    <w:rsid w:val="00C102FB"/>
    <w:rsid w:val="00C1040D"/>
    <w:rsid w:val="00C10F95"/>
    <w:rsid w:val="00C10FB7"/>
    <w:rsid w:val="00C11CF9"/>
    <w:rsid w:val="00C123EC"/>
    <w:rsid w:val="00C12D57"/>
    <w:rsid w:val="00C1325C"/>
    <w:rsid w:val="00C13B87"/>
    <w:rsid w:val="00C14255"/>
    <w:rsid w:val="00C14706"/>
    <w:rsid w:val="00C1472B"/>
    <w:rsid w:val="00C149A1"/>
    <w:rsid w:val="00C149D5"/>
    <w:rsid w:val="00C14BF2"/>
    <w:rsid w:val="00C14C0A"/>
    <w:rsid w:val="00C15C73"/>
    <w:rsid w:val="00C1607F"/>
    <w:rsid w:val="00C17CD1"/>
    <w:rsid w:val="00C213A4"/>
    <w:rsid w:val="00C217E5"/>
    <w:rsid w:val="00C21B15"/>
    <w:rsid w:val="00C21DAA"/>
    <w:rsid w:val="00C22233"/>
    <w:rsid w:val="00C22DB4"/>
    <w:rsid w:val="00C22E77"/>
    <w:rsid w:val="00C22FB4"/>
    <w:rsid w:val="00C2328A"/>
    <w:rsid w:val="00C23F2D"/>
    <w:rsid w:val="00C24068"/>
    <w:rsid w:val="00C240D6"/>
    <w:rsid w:val="00C24A56"/>
    <w:rsid w:val="00C24B01"/>
    <w:rsid w:val="00C25ECA"/>
    <w:rsid w:val="00C25F2D"/>
    <w:rsid w:val="00C261BA"/>
    <w:rsid w:val="00C27759"/>
    <w:rsid w:val="00C30ACE"/>
    <w:rsid w:val="00C31676"/>
    <w:rsid w:val="00C31775"/>
    <w:rsid w:val="00C31966"/>
    <w:rsid w:val="00C31F9F"/>
    <w:rsid w:val="00C3254B"/>
    <w:rsid w:val="00C325D7"/>
    <w:rsid w:val="00C330E4"/>
    <w:rsid w:val="00C33860"/>
    <w:rsid w:val="00C339E2"/>
    <w:rsid w:val="00C33C1D"/>
    <w:rsid w:val="00C33C38"/>
    <w:rsid w:val="00C3483D"/>
    <w:rsid w:val="00C34E82"/>
    <w:rsid w:val="00C35365"/>
    <w:rsid w:val="00C3616F"/>
    <w:rsid w:val="00C36485"/>
    <w:rsid w:val="00C36C00"/>
    <w:rsid w:val="00C36CBA"/>
    <w:rsid w:val="00C36EB0"/>
    <w:rsid w:val="00C37745"/>
    <w:rsid w:val="00C377B8"/>
    <w:rsid w:val="00C378F7"/>
    <w:rsid w:val="00C37BB6"/>
    <w:rsid w:val="00C37BC0"/>
    <w:rsid w:val="00C40617"/>
    <w:rsid w:val="00C40B8E"/>
    <w:rsid w:val="00C417B0"/>
    <w:rsid w:val="00C418CF"/>
    <w:rsid w:val="00C41FCD"/>
    <w:rsid w:val="00C42473"/>
    <w:rsid w:val="00C43DA7"/>
    <w:rsid w:val="00C43FA5"/>
    <w:rsid w:val="00C442C7"/>
    <w:rsid w:val="00C44A60"/>
    <w:rsid w:val="00C45387"/>
    <w:rsid w:val="00C456B7"/>
    <w:rsid w:val="00C465A2"/>
    <w:rsid w:val="00C465CE"/>
    <w:rsid w:val="00C4675C"/>
    <w:rsid w:val="00C47587"/>
    <w:rsid w:val="00C477DD"/>
    <w:rsid w:val="00C47B5E"/>
    <w:rsid w:val="00C47F43"/>
    <w:rsid w:val="00C5007C"/>
    <w:rsid w:val="00C50247"/>
    <w:rsid w:val="00C50299"/>
    <w:rsid w:val="00C5054C"/>
    <w:rsid w:val="00C505E1"/>
    <w:rsid w:val="00C50642"/>
    <w:rsid w:val="00C507EB"/>
    <w:rsid w:val="00C5080E"/>
    <w:rsid w:val="00C50A10"/>
    <w:rsid w:val="00C50B33"/>
    <w:rsid w:val="00C5135D"/>
    <w:rsid w:val="00C51711"/>
    <w:rsid w:val="00C51BBA"/>
    <w:rsid w:val="00C525DE"/>
    <w:rsid w:val="00C52E1F"/>
    <w:rsid w:val="00C53432"/>
    <w:rsid w:val="00C53825"/>
    <w:rsid w:val="00C53924"/>
    <w:rsid w:val="00C53FB7"/>
    <w:rsid w:val="00C54093"/>
    <w:rsid w:val="00C54EEF"/>
    <w:rsid w:val="00C5537A"/>
    <w:rsid w:val="00C5542D"/>
    <w:rsid w:val="00C5546F"/>
    <w:rsid w:val="00C558A5"/>
    <w:rsid w:val="00C55BC9"/>
    <w:rsid w:val="00C55C29"/>
    <w:rsid w:val="00C55FE7"/>
    <w:rsid w:val="00C563AB"/>
    <w:rsid w:val="00C571DB"/>
    <w:rsid w:val="00C5768C"/>
    <w:rsid w:val="00C60307"/>
    <w:rsid w:val="00C60336"/>
    <w:rsid w:val="00C60772"/>
    <w:rsid w:val="00C607BF"/>
    <w:rsid w:val="00C60958"/>
    <w:rsid w:val="00C610C2"/>
    <w:rsid w:val="00C6127E"/>
    <w:rsid w:val="00C612B8"/>
    <w:rsid w:val="00C613E9"/>
    <w:rsid w:val="00C615E5"/>
    <w:rsid w:val="00C61908"/>
    <w:rsid w:val="00C61B7B"/>
    <w:rsid w:val="00C61DA4"/>
    <w:rsid w:val="00C61F95"/>
    <w:rsid w:val="00C625E0"/>
    <w:rsid w:val="00C6285D"/>
    <w:rsid w:val="00C62AE1"/>
    <w:rsid w:val="00C62BBB"/>
    <w:rsid w:val="00C62C6A"/>
    <w:rsid w:val="00C641B3"/>
    <w:rsid w:val="00C64C20"/>
    <w:rsid w:val="00C64C72"/>
    <w:rsid w:val="00C64F48"/>
    <w:rsid w:val="00C651E4"/>
    <w:rsid w:val="00C652FD"/>
    <w:rsid w:val="00C655C6"/>
    <w:rsid w:val="00C657AC"/>
    <w:rsid w:val="00C65B7E"/>
    <w:rsid w:val="00C65CE7"/>
    <w:rsid w:val="00C66262"/>
    <w:rsid w:val="00C6644F"/>
    <w:rsid w:val="00C667EA"/>
    <w:rsid w:val="00C70078"/>
    <w:rsid w:val="00C700D5"/>
    <w:rsid w:val="00C70730"/>
    <w:rsid w:val="00C70772"/>
    <w:rsid w:val="00C70910"/>
    <w:rsid w:val="00C70D11"/>
    <w:rsid w:val="00C70FD2"/>
    <w:rsid w:val="00C71466"/>
    <w:rsid w:val="00C714B6"/>
    <w:rsid w:val="00C717E2"/>
    <w:rsid w:val="00C71B92"/>
    <w:rsid w:val="00C71DFB"/>
    <w:rsid w:val="00C72C1A"/>
    <w:rsid w:val="00C72E20"/>
    <w:rsid w:val="00C73757"/>
    <w:rsid w:val="00C73CCB"/>
    <w:rsid w:val="00C74206"/>
    <w:rsid w:val="00C74572"/>
    <w:rsid w:val="00C74728"/>
    <w:rsid w:val="00C747DB"/>
    <w:rsid w:val="00C74D57"/>
    <w:rsid w:val="00C74E8B"/>
    <w:rsid w:val="00C756A3"/>
    <w:rsid w:val="00C7589C"/>
    <w:rsid w:val="00C7600A"/>
    <w:rsid w:val="00C77373"/>
    <w:rsid w:val="00C777FA"/>
    <w:rsid w:val="00C80333"/>
    <w:rsid w:val="00C80353"/>
    <w:rsid w:val="00C80734"/>
    <w:rsid w:val="00C80A09"/>
    <w:rsid w:val="00C80BAC"/>
    <w:rsid w:val="00C80C35"/>
    <w:rsid w:val="00C81136"/>
    <w:rsid w:val="00C81493"/>
    <w:rsid w:val="00C822CB"/>
    <w:rsid w:val="00C824C2"/>
    <w:rsid w:val="00C8265B"/>
    <w:rsid w:val="00C82D2F"/>
    <w:rsid w:val="00C8346A"/>
    <w:rsid w:val="00C834E8"/>
    <w:rsid w:val="00C83DC0"/>
    <w:rsid w:val="00C83F10"/>
    <w:rsid w:val="00C842C1"/>
    <w:rsid w:val="00C845B6"/>
    <w:rsid w:val="00C84820"/>
    <w:rsid w:val="00C84B84"/>
    <w:rsid w:val="00C84C79"/>
    <w:rsid w:val="00C85A20"/>
    <w:rsid w:val="00C85C93"/>
    <w:rsid w:val="00C86EA9"/>
    <w:rsid w:val="00C875E8"/>
    <w:rsid w:val="00C879E6"/>
    <w:rsid w:val="00C9081B"/>
    <w:rsid w:val="00C908E7"/>
    <w:rsid w:val="00C913AD"/>
    <w:rsid w:val="00C913BC"/>
    <w:rsid w:val="00C915C9"/>
    <w:rsid w:val="00C917EE"/>
    <w:rsid w:val="00C9180B"/>
    <w:rsid w:val="00C918C6"/>
    <w:rsid w:val="00C91995"/>
    <w:rsid w:val="00C920E4"/>
    <w:rsid w:val="00C920EB"/>
    <w:rsid w:val="00C92313"/>
    <w:rsid w:val="00C927F5"/>
    <w:rsid w:val="00C9296D"/>
    <w:rsid w:val="00C92A7A"/>
    <w:rsid w:val="00C92FF0"/>
    <w:rsid w:val="00C934F0"/>
    <w:rsid w:val="00C94E42"/>
    <w:rsid w:val="00C94EB1"/>
    <w:rsid w:val="00C95495"/>
    <w:rsid w:val="00C954BC"/>
    <w:rsid w:val="00C956FC"/>
    <w:rsid w:val="00C95777"/>
    <w:rsid w:val="00C9634C"/>
    <w:rsid w:val="00C96B8C"/>
    <w:rsid w:val="00C96BD3"/>
    <w:rsid w:val="00C97749"/>
    <w:rsid w:val="00C97B6D"/>
    <w:rsid w:val="00CA042E"/>
    <w:rsid w:val="00CA08C8"/>
    <w:rsid w:val="00CA0B48"/>
    <w:rsid w:val="00CA13BC"/>
    <w:rsid w:val="00CA1B8B"/>
    <w:rsid w:val="00CA1BCC"/>
    <w:rsid w:val="00CA2624"/>
    <w:rsid w:val="00CA2811"/>
    <w:rsid w:val="00CA2D18"/>
    <w:rsid w:val="00CA2FA8"/>
    <w:rsid w:val="00CA324F"/>
    <w:rsid w:val="00CA375B"/>
    <w:rsid w:val="00CA3804"/>
    <w:rsid w:val="00CA3885"/>
    <w:rsid w:val="00CA40DD"/>
    <w:rsid w:val="00CA4417"/>
    <w:rsid w:val="00CA46BC"/>
    <w:rsid w:val="00CA4D90"/>
    <w:rsid w:val="00CA5821"/>
    <w:rsid w:val="00CA66E1"/>
    <w:rsid w:val="00CA7938"/>
    <w:rsid w:val="00CA7EE9"/>
    <w:rsid w:val="00CB04C6"/>
    <w:rsid w:val="00CB0752"/>
    <w:rsid w:val="00CB0B64"/>
    <w:rsid w:val="00CB0E34"/>
    <w:rsid w:val="00CB129A"/>
    <w:rsid w:val="00CB174E"/>
    <w:rsid w:val="00CB1808"/>
    <w:rsid w:val="00CB1902"/>
    <w:rsid w:val="00CB1B5E"/>
    <w:rsid w:val="00CB1BB7"/>
    <w:rsid w:val="00CB30CB"/>
    <w:rsid w:val="00CB348F"/>
    <w:rsid w:val="00CB3B6B"/>
    <w:rsid w:val="00CB3DA9"/>
    <w:rsid w:val="00CB3E47"/>
    <w:rsid w:val="00CB447D"/>
    <w:rsid w:val="00CB4536"/>
    <w:rsid w:val="00CB4EB6"/>
    <w:rsid w:val="00CB517C"/>
    <w:rsid w:val="00CB5A9B"/>
    <w:rsid w:val="00CB5AC5"/>
    <w:rsid w:val="00CB6FE2"/>
    <w:rsid w:val="00CB7876"/>
    <w:rsid w:val="00CB7E69"/>
    <w:rsid w:val="00CC00E7"/>
    <w:rsid w:val="00CC0BC5"/>
    <w:rsid w:val="00CC179B"/>
    <w:rsid w:val="00CC199C"/>
    <w:rsid w:val="00CC1BCB"/>
    <w:rsid w:val="00CC1E79"/>
    <w:rsid w:val="00CC1ED2"/>
    <w:rsid w:val="00CC21D4"/>
    <w:rsid w:val="00CC32A5"/>
    <w:rsid w:val="00CC3819"/>
    <w:rsid w:val="00CC4024"/>
    <w:rsid w:val="00CC440C"/>
    <w:rsid w:val="00CC46D7"/>
    <w:rsid w:val="00CC4A5F"/>
    <w:rsid w:val="00CC583C"/>
    <w:rsid w:val="00CC642A"/>
    <w:rsid w:val="00CC6AC7"/>
    <w:rsid w:val="00CC6D01"/>
    <w:rsid w:val="00CC6F23"/>
    <w:rsid w:val="00CC718F"/>
    <w:rsid w:val="00CC750A"/>
    <w:rsid w:val="00CC76D2"/>
    <w:rsid w:val="00CC77FE"/>
    <w:rsid w:val="00CD0632"/>
    <w:rsid w:val="00CD074F"/>
    <w:rsid w:val="00CD23AF"/>
    <w:rsid w:val="00CD324E"/>
    <w:rsid w:val="00CD3618"/>
    <w:rsid w:val="00CD4E2C"/>
    <w:rsid w:val="00CD4F92"/>
    <w:rsid w:val="00CD5378"/>
    <w:rsid w:val="00CD5796"/>
    <w:rsid w:val="00CD5D1D"/>
    <w:rsid w:val="00CD6361"/>
    <w:rsid w:val="00CD6D5A"/>
    <w:rsid w:val="00CD76BA"/>
    <w:rsid w:val="00CD7BA4"/>
    <w:rsid w:val="00CE046D"/>
    <w:rsid w:val="00CE1426"/>
    <w:rsid w:val="00CE1E6B"/>
    <w:rsid w:val="00CE273C"/>
    <w:rsid w:val="00CE2780"/>
    <w:rsid w:val="00CE38CB"/>
    <w:rsid w:val="00CE425C"/>
    <w:rsid w:val="00CE4914"/>
    <w:rsid w:val="00CE504F"/>
    <w:rsid w:val="00CE5115"/>
    <w:rsid w:val="00CE5865"/>
    <w:rsid w:val="00CE5CC1"/>
    <w:rsid w:val="00CE615D"/>
    <w:rsid w:val="00CE6A16"/>
    <w:rsid w:val="00CE6D14"/>
    <w:rsid w:val="00CE7B75"/>
    <w:rsid w:val="00CE7C1D"/>
    <w:rsid w:val="00CF0207"/>
    <w:rsid w:val="00CF0A08"/>
    <w:rsid w:val="00CF0C7A"/>
    <w:rsid w:val="00CF1290"/>
    <w:rsid w:val="00CF1384"/>
    <w:rsid w:val="00CF1703"/>
    <w:rsid w:val="00CF2294"/>
    <w:rsid w:val="00CF2CB7"/>
    <w:rsid w:val="00CF3B64"/>
    <w:rsid w:val="00CF4290"/>
    <w:rsid w:val="00CF526E"/>
    <w:rsid w:val="00CF549F"/>
    <w:rsid w:val="00CF5546"/>
    <w:rsid w:val="00CF5C33"/>
    <w:rsid w:val="00CF60A1"/>
    <w:rsid w:val="00CF6726"/>
    <w:rsid w:val="00CF6A3F"/>
    <w:rsid w:val="00CF719B"/>
    <w:rsid w:val="00CF7524"/>
    <w:rsid w:val="00CF78EE"/>
    <w:rsid w:val="00CF79BC"/>
    <w:rsid w:val="00CF7DE9"/>
    <w:rsid w:val="00CF7E79"/>
    <w:rsid w:val="00D009C8"/>
    <w:rsid w:val="00D00EF4"/>
    <w:rsid w:val="00D0176E"/>
    <w:rsid w:val="00D0191E"/>
    <w:rsid w:val="00D0196D"/>
    <w:rsid w:val="00D01F03"/>
    <w:rsid w:val="00D0311B"/>
    <w:rsid w:val="00D0380A"/>
    <w:rsid w:val="00D042E9"/>
    <w:rsid w:val="00D043F6"/>
    <w:rsid w:val="00D04981"/>
    <w:rsid w:val="00D04BBE"/>
    <w:rsid w:val="00D059AA"/>
    <w:rsid w:val="00D066FE"/>
    <w:rsid w:val="00D076DE"/>
    <w:rsid w:val="00D1036C"/>
    <w:rsid w:val="00D10AA7"/>
    <w:rsid w:val="00D112FC"/>
    <w:rsid w:val="00D113D9"/>
    <w:rsid w:val="00D1157F"/>
    <w:rsid w:val="00D11A07"/>
    <w:rsid w:val="00D11EF3"/>
    <w:rsid w:val="00D12D52"/>
    <w:rsid w:val="00D12FFF"/>
    <w:rsid w:val="00D1312A"/>
    <w:rsid w:val="00D1404E"/>
    <w:rsid w:val="00D1438B"/>
    <w:rsid w:val="00D15BEC"/>
    <w:rsid w:val="00D15FE8"/>
    <w:rsid w:val="00D17B10"/>
    <w:rsid w:val="00D2014D"/>
    <w:rsid w:val="00D2048A"/>
    <w:rsid w:val="00D2066F"/>
    <w:rsid w:val="00D20A42"/>
    <w:rsid w:val="00D21AB9"/>
    <w:rsid w:val="00D241E3"/>
    <w:rsid w:val="00D248AE"/>
    <w:rsid w:val="00D24EF0"/>
    <w:rsid w:val="00D24FE8"/>
    <w:rsid w:val="00D2500B"/>
    <w:rsid w:val="00D25495"/>
    <w:rsid w:val="00D2562D"/>
    <w:rsid w:val="00D259E4"/>
    <w:rsid w:val="00D25FDC"/>
    <w:rsid w:val="00D26352"/>
    <w:rsid w:val="00D263A2"/>
    <w:rsid w:val="00D26E7E"/>
    <w:rsid w:val="00D2708C"/>
    <w:rsid w:val="00D27582"/>
    <w:rsid w:val="00D27667"/>
    <w:rsid w:val="00D27ABE"/>
    <w:rsid w:val="00D302A9"/>
    <w:rsid w:val="00D302B1"/>
    <w:rsid w:val="00D30796"/>
    <w:rsid w:val="00D31070"/>
    <w:rsid w:val="00D3135F"/>
    <w:rsid w:val="00D317F3"/>
    <w:rsid w:val="00D31932"/>
    <w:rsid w:val="00D31FD0"/>
    <w:rsid w:val="00D31FD6"/>
    <w:rsid w:val="00D3202E"/>
    <w:rsid w:val="00D32051"/>
    <w:rsid w:val="00D324E1"/>
    <w:rsid w:val="00D32735"/>
    <w:rsid w:val="00D328FB"/>
    <w:rsid w:val="00D33620"/>
    <w:rsid w:val="00D336B2"/>
    <w:rsid w:val="00D33722"/>
    <w:rsid w:val="00D3386F"/>
    <w:rsid w:val="00D338AB"/>
    <w:rsid w:val="00D33BAD"/>
    <w:rsid w:val="00D34907"/>
    <w:rsid w:val="00D360E1"/>
    <w:rsid w:val="00D36F04"/>
    <w:rsid w:val="00D37128"/>
    <w:rsid w:val="00D3752C"/>
    <w:rsid w:val="00D37C3C"/>
    <w:rsid w:val="00D37E44"/>
    <w:rsid w:val="00D37EA3"/>
    <w:rsid w:val="00D40203"/>
    <w:rsid w:val="00D405DF"/>
    <w:rsid w:val="00D40A2E"/>
    <w:rsid w:val="00D40DA4"/>
    <w:rsid w:val="00D413BE"/>
    <w:rsid w:val="00D41913"/>
    <w:rsid w:val="00D41B91"/>
    <w:rsid w:val="00D41C14"/>
    <w:rsid w:val="00D42A02"/>
    <w:rsid w:val="00D42DC0"/>
    <w:rsid w:val="00D42F7E"/>
    <w:rsid w:val="00D44357"/>
    <w:rsid w:val="00D44520"/>
    <w:rsid w:val="00D44677"/>
    <w:rsid w:val="00D4475C"/>
    <w:rsid w:val="00D449B7"/>
    <w:rsid w:val="00D44D2C"/>
    <w:rsid w:val="00D44D34"/>
    <w:rsid w:val="00D44D40"/>
    <w:rsid w:val="00D451C4"/>
    <w:rsid w:val="00D47120"/>
    <w:rsid w:val="00D47229"/>
    <w:rsid w:val="00D4749D"/>
    <w:rsid w:val="00D47A03"/>
    <w:rsid w:val="00D47ACB"/>
    <w:rsid w:val="00D47DF2"/>
    <w:rsid w:val="00D510A2"/>
    <w:rsid w:val="00D5190C"/>
    <w:rsid w:val="00D51ADC"/>
    <w:rsid w:val="00D52111"/>
    <w:rsid w:val="00D521B5"/>
    <w:rsid w:val="00D524AF"/>
    <w:rsid w:val="00D5392B"/>
    <w:rsid w:val="00D53A5E"/>
    <w:rsid w:val="00D53F7B"/>
    <w:rsid w:val="00D541D0"/>
    <w:rsid w:val="00D54976"/>
    <w:rsid w:val="00D54A96"/>
    <w:rsid w:val="00D54BAB"/>
    <w:rsid w:val="00D550F9"/>
    <w:rsid w:val="00D566A3"/>
    <w:rsid w:val="00D5719D"/>
    <w:rsid w:val="00D572F4"/>
    <w:rsid w:val="00D57F72"/>
    <w:rsid w:val="00D60655"/>
    <w:rsid w:val="00D62021"/>
    <w:rsid w:val="00D630FF"/>
    <w:rsid w:val="00D64294"/>
    <w:rsid w:val="00D6498D"/>
    <w:rsid w:val="00D64D25"/>
    <w:rsid w:val="00D64EFC"/>
    <w:rsid w:val="00D65A8E"/>
    <w:rsid w:val="00D65BBE"/>
    <w:rsid w:val="00D66078"/>
    <w:rsid w:val="00D66689"/>
    <w:rsid w:val="00D6672A"/>
    <w:rsid w:val="00D6674F"/>
    <w:rsid w:val="00D66A84"/>
    <w:rsid w:val="00D66B83"/>
    <w:rsid w:val="00D66E72"/>
    <w:rsid w:val="00D670EA"/>
    <w:rsid w:val="00D67377"/>
    <w:rsid w:val="00D6785B"/>
    <w:rsid w:val="00D67D64"/>
    <w:rsid w:val="00D709B2"/>
    <w:rsid w:val="00D70DA6"/>
    <w:rsid w:val="00D70E25"/>
    <w:rsid w:val="00D70E7C"/>
    <w:rsid w:val="00D7121A"/>
    <w:rsid w:val="00D72CED"/>
    <w:rsid w:val="00D732EF"/>
    <w:rsid w:val="00D733CA"/>
    <w:rsid w:val="00D733D0"/>
    <w:rsid w:val="00D73ACD"/>
    <w:rsid w:val="00D73E3A"/>
    <w:rsid w:val="00D73F74"/>
    <w:rsid w:val="00D742A0"/>
    <w:rsid w:val="00D74912"/>
    <w:rsid w:val="00D749C4"/>
    <w:rsid w:val="00D751F8"/>
    <w:rsid w:val="00D7528E"/>
    <w:rsid w:val="00D76268"/>
    <w:rsid w:val="00D764AE"/>
    <w:rsid w:val="00D7668A"/>
    <w:rsid w:val="00D76FE3"/>
    <w:rsid w:val="00D77232"/>
    <w:rsid w:val="00D7791C"/>
    <w:rsid w:val="00D77CC1"/>
    <w:rsid w:val="00D77E8E"/>
    <w:rsid w:val="00D807CE"/>
    <w:rsid w:val="00D80A3D"/>
    <w:rsid w:val="00D81185"/>
    <w:rsid w:val="00D8144B"/>
    <w:rsid w:val="00D81613"/>
    <w:rsid w:val="00D8187D"/>
    <w:rsid w:val="00D82245"/>
    <w:rsid w:val="00D8298A"/>
    <w:rsid w:val="00D82CF2"/>
    <w:rsid w:val="00D83155"/>
    <w:rsid w:val="00D831D2"/>
    <w:rsid w:val="00D83353"/>
    <w:rsid w:val="00D83531"/>
    <w:rsid w:val="00D83E59"/>
    <w:rsid w:val="00D83EEB"/>
    <w:rsid w:val="00D84FC9"/>
    <w:rsid w:val="00D85093"/>
    <w:rsid w:val="00D8546A"/>
    <w:rsid w:val="00D85D14"/>
    <w:rsid w:val="00D86046"/>
    <w:rsid w:val="00D865D7"/>
    <w:rsid w:val="00D8674D"/>
    <w:rsid w:val="00D876A2"/>
    <w:rsid w:val="00D87869"/>
    <w:rsid w:val="00D90D5E"/>
    <w:rsid w:val="00D90EC4"/>
    <w:rsid w:val="00D913E7"/>
    <w:rsid w:val="00D9169B"/>
    <w:rsid w:val="00D91C12"/>
    <w:rsid w:val="00D921BC"/>
    <w:rsid w:val="00D925C9"/>
    <w:rsid w:val="00D92897"/>
    <w:rsid w:val="00D92949"/>
    <w:rsid w:val="00D92985"/>
    <w:rsid w:val="00D929A8"/>
    <w:rsid w:val="00D92B66"/>
    <w:rsid w:val="00D92F95"/>
    <w:rsid w:val="00D93140"/>
    <w:rsid w:val="00D93BA4"/>
    <w:rsid w:val="00D93C8A"/>
    <w:rsid w:val="00D93EA1"/>
    <w:rsid w:val="00D949E9"/>
    <w:rsid w:val="00D94C00"/>
    <w:rsid w:val="00D95EE2"/>
    <w:rsid w:val="00D96563"/>
    <w:rsid w:val="00D9693B"/>
    <w:rsid w:val="00D97538"/>
    <w:rsid w:val="00D97D02"/>
    <w:rsid w:val="00D97ED6"/>
    <w:rsid w:val="00DA0310"/>
    <w:rsid w:val="00DA0CA5"/>
    <w:rsid w:val="00DA0CCE"/>
    <w:rsid w:val="00DA0DDF"/>
    <w:rsid w:val="00DA1655"/>
    <w:rsid w:val="00DA1CF1"/>
    <w:rsid w:val="00DA22A2"/>
    <w:rsid w:val="00DA2ADE"/>
    <w:rsid w:val="00DA2E1D"/>
    <w:rsid w:val="00DA2E63"/>
    <w:rsid w:val="00DA3CCE"/>
    <w:rsid w:val="00DA429A"/>
    <w:rsid w:val="00DA4326"/>
    <w:rsid w:val="00DA43D5"/>
    <w:rsid w:val="00DA45F1"/>
    <w:rsid w:val="00DA47E3"/>
    <w:rsid w:val="00DA4D66"/>
    <w:rsid w:val="00DA4E24"/>
    <w:rsid w:val="00DA5BEB"/>
    <w:rsid w:val="00DA6176"/>
    <w:rsid w:val="00DA6A0C"/>
    <w:rsid w:val="00DA7725"/>
    <w:rsid w:val="00DB017D"/>
    <w:rsid w:val="00DB046E"/>
    <w:rsid w:val="00DB0841"/>
    <w:rsid w:val="00DB0885"/>
    <w:rsid w:val="00DB0FFC"/>
    <w:rsid w:val="00DB1827"/>
    <w:rsid w:val="00DB19A0"/>
    <w:rsid w:val="00DB29DB"/>
    <w:rsid w:val="00DB2AC8"/>
    <w:rsid w:val="00DB2C9D"/>
    <w:rsid w:val="00DB2DB5"/>
    <w:rsid w:val="00DB3457"/>
    <w:rsid w:val="00DB348C"/>
    <w:rsid w:val="00DB399A"/>
    <w:rsid w:val="00DB3C34"/>
    <w:rsid w:val="00DB400C"/>
    <w:rsid w:val="00DB4A3E"/>
    <w:rsid w:val="00DB4B73"/>
    <w:rsid w:val="00DB4BC2"/>
    <w:rsid w:val="00DB4EED"/>
    <w:rsid w:val="00DB5270"/>
    <w:rsid w:val="00DB5F47"/>
    <w:rsid w:val="00DB63B6"/>
    <w:rsid w:val="00DB66EA"/>
    <w:rsid w:val="00DB6CC5"/>
    <w:rsid w:val="00DB7966"/>
    <w:rsid w:val="00DC016B"/>
    <w:rsid w:val="00DC02D0"/>
    <w:rsid w:val="00DC0B85"/>
    <w:rsid w:val="00DC1E5A"/>
    <w:rsid w:val="00DC2796"/>
    <w:rsid w:val="00DC292C"/>
    <w:rsid w:val="00DC346C"/>
    <w:rsid w:val="00DC37CA"/>
    <w:rsid w:val="00DC3BFD"/>
    <w:rsid w:val="00DC43FC"/>
    <w:rsid w:val="00DC4748"/>
    <w:rsid w:val="00DC4CA3"/>
    <w:rsid w:val="00DC551C"/>
    <w:rsid w:val="00DC5548"/>
    <w:rsid w:val="00DC555E"/>
    <w:rsid w:val="00DC5E48"/>
    <w:rsid w:val="00DC5F2C"/>
    <w:rsid w:val="00DC5F51"/>
    <w:rsid w:val="00DC63F6"/>
    <w:rsid w:val="00DC65C0"/>
    <w:rsid w:val="00DC6BB4"/>
    <w:rsid w:val="00DC71AB"/>
    <w:rsid w:val="00DD08FC"/>
    <w:rsid w:val="00DD0B67"/>
    <w:rsid w:val="00DD1579"/>
    <w:rsid w:val="00DD1C65"/>
    <w:rsid w:val="00DD1D7B"/>
    <w:rsid w:val="00DD210F"/>
    <w:rsid w:val="00DD277B"/>
    <w:rsid w:val="00DD2C74"/>
    <w:rsid w:val="00DD2F25"/>
    <w:rsid w:val="00DD3BC6"/>
    <w:rsid w:val="00DD4715"/>
    <w:rsid w:val="00DD4739"/>
    <w:rsid w:val="00DD4989"/>
    <w:rsid w:val="00DD5409"/>
    <w:rsid w:val="00DD5BA7"/>
    <w:rsid w:val="00DD5F5E"/>
    <w:rsid w:val="00DD61AA"/>
    <w:rsid w:val="00DD6257"/>
    <w:rsid w:val="00DD6495"/>
    <w:rsid w:val="00DD68A7"/>
    <w:rsid w:val="00DD7120"/>
    <w:rsid w:val="00DD729F"/>
    <w:rsid w:val="00DD73DB"/>
    <w:rsid w:val="00DD7D88"/>
    <w:rsid w:val="00DE0069"/>
    <w:rsid w:val="00DE0586"/>
    <w:rsid w:val="00DE0AAB"/>
    <w:rsid w:val="00DE0FA0"/>
    <w:rsid w:val="00DE11E1"/>
    <w:rsid w:val="00DE14B2"/>
    <w:rsid w:val="00DE1556"/>
    <w:rsid w:val="00DE1A61"/>
    <w:rsid w:val="00DE20E6"/>
    <w:rsid w:val="00DE3366"/>
    <w:rsid w:val="00DE376F"/>
    <w:rsid w:val="00DE3B73"/>
    <w:rsid w:val="00DE4298"/>
    <w:rsid w:val="00DE45FE"/>
    <w:rsid w:val="00DE4D06"/>
    <w:rsid w:val="00DE4D67"/>
    <w:rsid w:val="00DE5039"/>
    <w:rsid w:val="00DE52A7"/>
    <w:rsid w:val="00DE54BC"/>
    <w:rsid w:val="00DE570A"/>
    <w:rsid w:val="00DE5CE9"/>
    <w:rsid w:val="00DE692B"/>
    <w:rsid w:val="00DF0653"/>
    <w:rsid w:val="00DF0723"/>
    <w:rsid w:val="00DF0870"/>
    <w:rsid w:val="00DF0E57"/>
    <w:rsid w:val="00DF2375"/>
    <w:rsid w:val="00DF2C06"/>
    <w:rsid w:val="00DF33C1"/>
    <w:rsid w:val="00DF451A"/>
    <w:rsid w:val="00DF4579"/>
    <w:rsid w:val="00DF4957"/>
    <w:rsid w:val="00DF4BDC"/>
    <w:rsid w:val="00DF5452"/>
    <w:rsid w:val="00DF54E3"/>
    <w:rsid w:val="00DF5C41"/>
    <w:rsid w:val="00DF6698"/>
    <w:rsid w:val="00DF7677"/>
    <w:rsid w:val="00DF7C2A"/>
    <w:rsid w:val="00DF7CE9"/>
    <w:rsid w:val="00DF7FC1"/>
    <w:rsid w:val="00E003ED"/>
    <w:rsid w:val="00E0054E"/>
    <w:rsid w:val="00E00C61"/>
    <w:rsid w:val="00E022C7"/>
    <w:rsid w:val="00E029A6"/>
    <w:rsid w:val="00E0311D"/>
    <w:rsid w:val="00E03158"/>
    <w:rsid w:val="00E037D5"/>
    <w:rsid w:val="00E03A25"/>
    <w:rsid w:val="00E03F2D"/>
    <w:rsid w:val="00E04308"/>
    <w:rsid w:val="00E045B1"/>
    <w:rsid w:val="00E049E9"/>
    <w:rsid w:val="00E04E5D"/>
    <w:rsid w:val="00E05724"/>
    <w:rsid w:val="00E06AB3"/>
    <w:rsid w:val="00E0713F"/>
    <w:rsid w:val="00E0725D"/>
    <w:rsid w:val="00E0753E"/>
    <w:rsid w:val="00E07694"/>
    <w:rsid w:val="00E0785C"/>
    <w:rsid w:val="00E079C3"/>
    <w:rsid w:val="00E07BAD"/>
    <w:rsid w:val="00E105CB"/>
    <w:rsid w:val="00E10F68"/>
    <w:rsid w:val="00E113D6"/>
    <w:rsid w:val="00E114F2"/>
    <w:rsid w:val="00E117C5"/>
    <w:rsid w:val="00E11E44"/>
    <w:rsid w:val="00E12373"/>
    <w:rsid w:val="00E1276C"/>
    <w:rsid w:val="00E12D23"/>
    <w:rsid w:val="00E13213"/>
    <w:rsid w:val="00E13895"/>
    <w:rsid w:val="00E1410D"/>
    <w:rsid w:val="00E147B3"/>
    <w:rsid w:val="00E1519B"/>
    <w:rsid w:val="00E1599C"/>
    <w:rsid w:val="00E16060"/>
    <w:rsid w:val="00E161B2"/>
    <w:rsid w:val="00E167ED"/>
    <w:rsid w:val="00E16929"/>
    <w:rsid w:val="00E16A21"/>
    <w:rsid w:val="00E16B83"/>
    <w:rsid w:val="00E16D11"/>
    <w:rsid w:val="00E16F44"/>
    <w:rsid w:val="00E17345"/>
    <w:rsid w:val="00E17485"/>
    <w:rsid w:val="00E17943"/>
    <w:rsid w:val="00E1799E"/>
    <w:rsid w:val="00E17C71"/>
    <w:rsid w:val="00E17EF0"/>
    <w:rsid w:val="00E17FFE"/>
    <w:rsid w:val="00E20652"/>
    <w:rsid w:val="00E2098C"/>
    <w:rsid w:val="00E20C87"/>
    <w:rsid w:val="00E21332"/>
    <w:rsid w:val="00E21346"/>
    <w:rsid w:val="00E21EC2"/>
    <w:rsid w:val="00E223E8"/>
    <w:rsid w:val="00E22471"/>
    <w:rsid w:val="00E2247E"/>
    <w:rsid w:val="00E226B1"/>
    <w:rsid w:val="00E22B7E"/>
    <w:rsid w:val="00E22D5F"/>
    <w:rsid w:val="00E22FB2"/>
    <w:rsid w:val="00E231CA"/>
    <w:rsid w:val="00E23A80"/>
    <w:rsid w:val="00E24269"/>
    <w:rsid w:val="00E24314"/>
    <w:rsid w:val="00E24527"/>
    <w:rsid w:val="00E24864"/>
    <w:rsid w:val="00E2489C"/>
    <w:rsid w:val="00E24F80"/>
    <w:rsid w:val="00E250BF"/>
    <w:rsid w:val="00E25621"/>
    <w:rsid w:val="00E258E7"/>
    <w:rsid w:val="00E265A1"/>
    <w:rsid w:val="00E26948"/>
    <w:rsid w:val="00E26984"/>
    <w:rsid w:val="00E26A64"/>
    <w:rsid w:val="00E26AE2"/>
    <w:rsid w:val="00E278B3"/>
    <w:rsid w:val="00E27A5D"/>
    <w:rsid w:val="00E305D6"/>
    <w:rsid w:val="00E3067E"/>
    <w:rsid w:val="00E307FF"/>
    <w:rsid w:val="00E30C85"/>
    <w:rsid w:val="00E30CAA"/>
    <w:rsid w:val="00E30FB0"/>
    <w:rsid w:val="00E314EB"/>
    <w:rsid w:val="00E31A70"/>
    <w:rsid w:val="00E31B18"/>
    <w:rsid w:val="00E31FBD"/>
    <w:rsid w:val="00E322C6"/>
    <w:rsid w:val="00E32390"/>
    <w:rsid w:val="00E33198"/>
    <w:rsid w:val="00E331C0"/>
    <w:rsid w:val="00E335A8"/>
    <w:rsid w:val="00E33E7F"/>
    <w:rsid w:val="00E34143"/>
    <w:rsid w:val="00E34627"/>
    <w:rsid w:val="00E34E0E"/>
    <w:rsid w:val="00E34F95"/>
    <w:rsid w:val="00E35116"/>
    <w:rsid w:val="00E356B2"/>
    <w:rsid w:val="00E3599E"/>
    <w:rsid w:val="00E36B4F"/>
    <w:rsid w:val="00E3723E"/>
    <w:rsid w:val="00E3734B"/>
    <w:rsid w:val="00E37EF2"/>
    <w:rsid w:val="00E405CA"/>
    <w:rsid w:val="00E406BB"/>
    <w:rsid w:val="00E40DC1"/>
    <w:rsid w:val="00E4107A"/>
    <w:rsid w:val="00E41231"/>
    <w:rsid w:val="00E41674"/>
    <w:rsid w:val="00E417A0"/>
    <w:rsid w:val="00E42158"/>
    <w:rsid w:val="00E42231"/>
    <w:rsid w:val="00E426D7"/>
    <w:rsid w:val="00E42E89"/>
    <w:rsid w:val="00E434E9"/>
    <w:rsid w:val="00E43E05"/>
    <w:rsid w:val="00E44138"/>
    <w:rsid w:val="00E44236"/>
    <w:rsid w:val="00E44B6D"/>
    <w:rsid w:val="00E44BBF"/>
    <w:rsid w:val="00E44FB8"/>
    <w:rsid w:val="00E450A2"/>
    <w:rsid w:val="00E45108"/>
    <w:rsid w:val="00E45408"/>
    <w:rsid w:val="00E465D0"/>
    <w:rsid w:val="00E467AF"/>
    <w:rsid w:val="00E46E70"/>
    <w:rsid w:val="00E47A7C"/>
    <w:rsid w:val="00E5090F"/>
    <w:rsid w:val="00E50F73"/>
    <w:rsid w:val="00E51D2D"/>
    <w:rsid w:val="00E5215A"/>
    <w:rsid w:val="00E521C8"/>
    <w:rsid w:val="00E524D6"/>
    <w:rsid w:val="00E527F9"/>
    <w:rsid w:val="00E52EC7"/>
    <w:rsid w:val="00E544F3"/>
    <w:rsid w:val="00E55C70"/>
    <w:rsid w:val="00E55D20"/>
    <w:rsid w:val="00E5656E"/>
    <w:rsid w:val="00E56DE0"/>
    <w:rsid w:val="00E57087"/>
    <w:rsid w:val="00E5730F"/>
    <w:rsid w:val="00E57396"/>
    <w:rsid w:val="00E57614"/>
    <w:rsid w:val="00E57A4A"/>
    <w:rsid w:val="00E57EC9"/>
    <w:rsid w:val="00E60B56"/>
    <w:rsid w:val="00E610A6"/>
    <w:rsid w:val="00E6148F"/>
    <w:rsid w:val="00E6183D"/>
    <w:rsid w:val="00E61A34"/>
    <w:rsid w:val="00E61BEE"/>
    <w:rsid w:val="00E624DB"/>
    <w:rsid w:val="00E6257A"/>
    <w:rsid w:val="00E62C68"/>
    <w:rsid w:val="00E62F6E"/>
    <w:rsid w:val="00E6308E"/>
    <w:rsid w:val="00E635BE"/>
    <w:rsid w:val="00E63953"/>
    <w:rsid w:val="00E63CF5"/>
    <w:rsid w:val="00E644A5"/>
    <w:rsid w:val="00E64789"/>
    <w:rsid w:val="00E64C98"/>
    <w:rsid w:val="00E64DCF"/>
    <w:rsid w:val="00E64F0E"/>
    <w:rsid w:val="00E64FE2"/>
    <w:rsid w:val="00E650D0"/>
    <w:rsid w:val="00E65385"/>
    <w:rsid w:val="00E6567A"/>
    <w:rsid w:val="00E657CE"/>
    <w:rsid w:val="00E66931"/>
    <w:rsid w:val="00E671B9"/>
    <w:rsid w:val="00E672FC"/>
    <w:rsid w:val="00E675D5"/>
    <w:rsid w:val="00E67A50"/>
    <w:rsid w:val="00E67D53"/>
    <w:rsid w:val="00E70691"/>
    <w:rsid w:val="00E706B3"/>
    <w:rsid w:val="00E70ECD"/>
    <w:rsid w:val="00E7138E"/>
    <w:rsid w:val="00E713D0"/>
    <w:rsid w:val="00E72D9D"/>
    <w:rsid w:val="00E735CA"/>
    <w:rsid w:val="00E73867"/>
    <w:rsid w:val="00E73D55"/>
    <w:rsid w:val="00E74527"/>
    <w:rsid w:val="00E75976"/>
    <w:rsid w:val="00E75F2E"/>
    <w:rsid w:val="00E76028"/>
    <w:rsid w:val="00E76994"/>
    <w:rsid w:val="00E76C78"/>
    <w:rsid w:val="00E7709D"/>
    <w:rsid w:val="00E77725"/>
    <w:rsid w:val="00E77749"/>
    <w:rsid w:val="00E7775B"/>
    <w:rsid w:val="00E77818"/>
    <w:rsid w:val="00E77AF9"/>
    <w:rsid w:val="00E77E8C"/>
    <w:rsid w:val="00E8022B"/>
    <w:rsid w:val="00E80461"/>
    <w:rsid w:val="00E80592"/>
    <w:rsid w:val="00E81B13"/>
    <w:rsid w:val="00E81E4E"/>
    <w:rsid w:val="00E821C9"/>
    <w:rsid w:val="00E82396"/>
    <w:rsid w:val="00E828BF"/>
    <w:rsid w:val="00E82F73"/>
    <w:rsid w:val="00E8329A"/>
    <w:rsid w:val="00E83EE4"/>
    <w:rsid w:val="00E843D2"/>
    <w:rsid w:val="00E84523"/>
    <w:rsid w:val="00E84888"/>
    <w:rsid w:val="00E84C04"/>
    <w:rsid w:val="00E84D5D"/>
    <w:rsid w:val="00E84F54"/>
    <w:rsid w:val="00E86153"/>
    <w:rsid w:val="00E86249"/>
    <w:rsid w:val="00E867CF"/>
    <w:rsid w:val="00E8703A"/>
    <w:rsid w:val="00E87108"/>
    <w:rsid w:val="00E87B1F"/>
    <w:rsid w:val="00E87C9A"/>
    <w:rsid w:val="00E906A7"/>
    <w:rsid w:val="00E90C9E"/>
    <w:rsid w:val="00E913A3"/>
    <w:rsid w:val="00E914C0"/>
    <w:rsid w:val="00E91741"/>
    <w:rsid w:val="00E917A3"/>
    <w:rsid w:val="00E917F4"/>
    <w:rsid w:val="00E91B63"/>
    <w:rsid w:val="00E91FD3"/>
    <w:rsid w:val="00E927DA"/>
    <w:rsid w:val="00E92D6D"/>
    <w:rsid w:val="00E92D9F"/>
    <w:rsid w:val="00E93385"/>
    <w:rsid w:val="00E9342B"/>
    <w:rsid w:val="00E93815"/>
    <w:rsid w:val="00E93970"/>
    <w:rsid w:val="00E93EA5"/>
    <w:rsid w:val="00E94311"/>
    <w:rsid w:val="00E949DA"/>
    <w:rsid w:val="00E94A78"/>
    <w:rsid w:val="00E94B73"/>
    <w:rsid w:val="00E94EE7"/>
    <w:rsid w:val="00E95201"/>
    <w:rsid w:val="00E95C85"/>
    <w:rsid w:val="00E95F87"/>
    <w:rsid w:val="00E96392"/>
    <w:rsid w:val="00E96A1D"/>
    <w:rsid w:val="00E96AF5"/>
    <w:rsid w:val="00E96AF8"/>
    <w:rsid w:val="00E96BC1"/>
    <w:rsid w:val="00E96DEC"/>
    <w:rsid w:val="00E96E7A"/>
    <w:rsid w:val="00E97119"/>
    <w:rsid w:val="00E971EF"/>
    <w:rsid w:val="00E97703"/>
    <w:rsid w:val="00E97D03"/>
    <w:rsid w:val="00E97DEC"/>
    <w:rsid w:val="00EA04D9"/>
    <w:rsid w:val="00EA09ED"/>
    <w:rsid w:val="00EA18FA"/>
    <w:rsid w:val="00EA1955"/>
    <w:rsid w:val="00EA1BCE"/>
    <w:rsid w:val="00EA223F"/>
    <w:rsid w:val="00EA29FC"/>
    <w:rsid w:val="00EA35F7"/>
    <w:rsid w:val="00EA3F51"/>
    <w:rsid w:val="00EA4229"/>
    <w:rsid w:val="00EA4446"/>
    <w:rsid w:val="00EA44DC"/>
    <w:rsid w:val="00EA44E8"/>
    <w:rsid w:val="00EA49DA"/>
    <w:rsid w:val="00EA4D77"/>
    <w:rsid w:val="00EA532C"/>
    <w:rsid w:val="00EA5333"/>
    <w:rsid w:val="00EA5F26"/>
    <w:rsid w:val="00EA6677"/>
    <w:rsid w:val="00EA67A4"/>
    <w:rsid w:val="00EA6A81"/>
    <w:rsid w:val="00EA6C13"/>
    <w:rsid w:val="00EA6F72"/>
    <w:rsid w:val="00EA738F"/>
    <w:rsid w:val="00EA7878"/>
    <w:rsid w:val="00EA7C65"/>
    <w:rsid w:val="00EA7C98"/>
    <w:rsid w:val="00EA7DE9"/>
    <w:rsid w:val="00EA7E92"/>
    <w:rsid w:val="00EB0524"/>
    <w:rsid w:val="00EB05F5"/>
    <w:rsid w:val="00EB07B7"/>
    <w:rsid w:val="00EB1526"/>
    <w:rsid w:val="00EB170C"/>
    <w:rsid w:val="00EB2011"/>
    <w:rsid w:val="00EB25EA"/>
    <w:rsid w:val="00EB269D"/>
    <w:rsid w:val="00EB2953"/>
    <w:rsid w:val="00EB3ED9"/>
    <w:rsid w:val="00EB429D"/>
    <w:rsid w:val="00EB4459"/>
    <w:rsid w:val="00EB5200"/>
    <w:rsid w:val="00EB521A"/>
    <w:rsid w:val="00EB5275"/>
    <w:rsid w:val="00EB55D5"/>
    <w:rsid w:val="00EB57C7"/>
    <w:rsid w:val="00EB5832"/>
    <w:rsid w:val="00EB5C50"/>
    <w:rsid w:val="00EB5EDF"/>
    <w:rsid w:val="00EB626D"/>
    <w:rsid w:val="00EB6443"/>
    <w:rsid w:val="00EB67A8"/>
    <w:rsid w:val="00EB6E1F"/>
    <w:rsid w:val="00EB6EE7"/>
    <w:rsid w:val="00EB7513"/>
    <w:rsid w:val="00EB7B43"/>
    <w:rsid w:val="00EB7BCB"/>
    <w:rsid w:val="00EB7DDB"/>
    <w:rsid w:val="00EC03F5"/>
    <w:rsid w:val="00EC073A"/>
    <w:rsid w:val="00EC079C"/>
    <w:rsid w:val="00EC1518"/>
    <w:rsid w:val="00EC16A8"/>
    <w:rsid w:val="00EC2008"/>
    <w:rsid w:val="00EC249C"/>
    <w:rsid w:val="00EC2E95"/>
    <w:rsid w:val="00EC3494"/>
    <w:rsid w:val="00EC431E"/>
    <w:rsid w:val="00EC4F70"/>
    <w:rsid w:val="00EC5344"/>
    <w:rsid w:val="00EC558B"/>
    <w:rsid w:val="00EC589E"/>
    <w:rsid w:val="00EC6035"/>
    <w:rsid w:val="00EC6593"/>
    <w:rsid w:val="00EC6FB3"/>
    <w:rsid w:val="00EC704B"/>
    <w:rsid w:val="00EC74FA"/>
    <w:rsid w:val="00EC76A4"/>
    <w:rsid w:val="00EC7C90"/>
    <w:rsid w:val="00ED0277"/>
    <w:rsid w:val="00ED0615"/>
    <w:rsid w:val="00ED0726"/>
    <w:rsid w:val="00ED09E4"/>
    <w:rsid w:val="00ED1F97"/>
    <w:rsid w:val="00ED2259"/>
    <w:rsid w:val="00ED28A8"/>
    <w:rsid w:val="00ED30FF"/>
    <w:rsid w:val="00ED3841"/>
    <w:rsid w:val="00ED3B34"/>
    <w:rsid w:val="00ED3EBE"/>
    <w:rsid w:val="00ED4838"/>
    <w:rsid w:val="00ED52B5"/>
    <w:rsid w:val="00ED5DC8"/>
    <w:rsid w:val="00ED66C9"/>
    <w:rsid w:val="00ED696E"/>
    <w:rsid w:val="00ED6991"/>
    <w:rsid w:val="00ED6D5D"/>
    <w:rsid w:val="00ED6FFD"/>
    <w:rsid w:val="00ED70E1"/>
    <w:rsid w:val="00ED7847"/>
    <w:rsid w:val="00ED7A0C"/>
    <w:rsid w:val="00ED7B39"/>
    <w:rsid w:val="00ED7D56"/>
    <w:rsid w:val="00ED7DA6"/>
    <w:rsid w:val="00ED7F65"/>
    <w:rsid w:val="00EE0C3B"/>
    <w:rsid w:val="00EE0DF4"/>
    <w:rsid w:val="00EE1559"/>
    <w:rsid w:val="00EE18B6"/>
    <w:rsid w:val="00EE1BBF"/>
    <w:rsid w:val="00EE1C82"/>
    <w:rsid w:val="00EE212A"/>
    <w:rsid w:val="00EE315C"/>
    <w:rsid w:val="00EE32C3"/>
    <w:rsid w:val="00EE33BD"/>
    <w:rsid w:val="00EE39EB"/>
    <w:rsid w:val="00EE3E42"/>
    <w:rsid w:val="00EE47CA"/>
    <w:rsid w:val="00EE49CA"/>
    <w:rsid w:val="00EE4BDC"/>
    <w:rsid w:val="00EE4E62"/>
    <w:rsid w:val="00EE5B8F"/>
    <w:rsid w:val="00EE614B"/>
    <w:rsid w:val="00EE618F"/>
    <w:rsid w:val="00EE6267"/>
    <w:rsid w:val="00EE6839"/>
    <w:rsid w:val="00EF12B8"/>
    <w:rsid w:val="00EF14F2"/>
    <w:rsid w:val="00EF19C7"/>
    <w:rsid w:val="00EF1CE3"/>
    <w:rsid w:val="00EF2A09"/>
    <w:rsid w:val="00EF2B31"/>
    <w:rsid w:val="00EF2BE4"/>
    <w:rsid w:val="00EF2F29"/>
    <w:rsid w:val="00EF376C"/>
    <w:rsid w:val="00EF4693"/>
    <w:rsid w:val="00EF62D5"/>
    <w:rsid w:val="00EF67AE"/>
    <w:rsid w:val="00EF6CB0"/>
    <w:rsid w:val="00EF74BF"/>
    <w:rsid w:val="00EF78A8"/>
    <w:rsid w:val="00EF7BBA"/>
    <w:rsid w:val="00F00162"/>
    <w:rsid w:val="00F0061F"/>
    <w:rsid w:val="00F008F4"/>
    <w:rsid w:val="00F00D78"/>
    <w:rsid w:val="00F014A4"/>
    <w:rsid w:val="00F01604"/>
    <w:rsid w:val="00F01CB9"/>
    <w:rsid w:val="00F0224C"/>
    <w:rsid w:val="00F02940"/>
    <w:rsid w:val="00F02D88"/>
    <w:rsid w:val="00F030B5"/>
    <w:rsid w:val="00F03770"/>
    <w:rsid w:val="00F043AC"/>
    <w:rsid w:val="00F046F4"/>
    <w:rsid w:val="00F04809"/>
    <w:rsid w:val="00F0487E"/>
    <w:rsid w:val="00F050DB"/>
    <w:rsid w:val="00F05288"/>
    <w:rsid w:val="00F053DE"/>
    <w:rsid w:val="00F05966"/>
    <w:rsid w:val="00F05BA9"/>
    <w:rsid w:val="00F06149"/>
    <w:rsid w:val="00F065CA"/>
    <w:rsid w:val="00F06912"/>
    <w:rsid w:val="00F06AD4"/>
    <w:rsid w:val="00F06E5D"/>
    <w:rsid w:val="00F0719A"/>
    <w:rsid w:val="00F076FB"/>
    <w:rsid w:val="00F07886"/>
    <w:rsid w:val="00F10BC5"/>
    <w:rsid w:val="00F11220"/>
    <w:rsid w:val="00F11612"/>
    <w:rsid w:val="00F11904"/>
    <w:rsid w:val="00F11B31"/>
    <w:rsid w:val="00F11EF3"/>
    <w:rsid w:val="00F1209C"/>
    <w:rsid w:val="00F123F9"/>
    <w:rsid w:val="00F12CB6"/>
    <w:rsid w:val="00F13F45"/>
    <w:rsid w:val="00F14399"/>
    <w:rsid w:val="00F144A2"/>
    <w:rsid w:val="00F14576"/>
    <w:rsid w:val="00F14582"/>
    <w:rsid w:val="00F14FEB"/>
    <w:rsid w:val="00F155C8"/>
    <w:rsid w:val="00F15948"/>
    <w:rsid w:val="00F15CC7"/>
    <w:rsid w:val="00F16286"/>
    <w:rsid w:val="00F164CE"/>
    <w:rsid w:val="00F17603"/>
    <w:rsid w:val="00F1775D"/>
    <w:rsid w:val="00F177AB"/>
    <w:rsid w:val="00F204D4"/>
    <w:rsid w:val="00F20983"/>
    <w:rsid w:val="00F20F0C"/>
    <w:rsid w:val="00F21155"/>
    <w:rsid w:val="00F215BD"/>
    <w:rsid w:val="00F215D1"/>
    <w:rsid w:val="00F21B56"/>
    <w:rsid w:val="00F21BB5"/>
    <w:rsid w:val="00F21BC3"/>
    <w:rsid w:val="00F220F3"/>
    <w:rsid w:val="00F22385"/>
    <w:rsid w:val="00F22AF1"/>
    <w:rsid w:val="00F230AC"/>
    <w:rsid w:val="00F23F3F"/>
    <w:rsid w:val="00F2476C"/>
    <w:rsid w:val="00F24BCC"/>
    <w:rsid w:val="00F25F89"/>
    <w:rsid w:val="00F26157"/>
    <w:rsid w:val="00F26447"/>
    <w:rsid w:val="00F26B77"/>
    <w:rsid w:val="00F301AA"/>
    <w:rsid w:val="00F301D0"/>
    <w:rsid w:val="00F30403"/>
    <w:rsid w:val="00F30DCB"/>
    <w:rsid w:val="00F316F2"/>
    <w:rsid w:val="00F31CBF"/>
    <w:rsid w:val="00F32064"/>
    <w:rsid w:val="00F325EF"/>
    <w:rsid w:val="00F329B5"/>
    <w:rsid w:val="00F32DED"/>
    <w:rsid w:val="00F32EF3"/>
    <w:rsid w:val="00F33981"/>
    <w:rsid w:val="00F33A9C"/>
    <w:rsid w:val="00F343C1"/>
    <w:rsid w:val="00F34692"/>
    <w:rsid w:val="00F34C5D"/>
    <w:rsid w:val="00F34D0D"/>
    <w:rsid w:val="00F34D4A"/>
    <w:rsid w:val="00F34DA8"/>
    <w:rsid w:val="00F34DBB"/>
    <w:rsid w:val="00F34E5C"/>
    <w:rsid w:val="00F3512E"/>
    <w:rsid w:val="00F353DD"/>
    <w:rsid w:val="00F35C35"/>
    <w:rsid w:val="00F3632E"/>
    <w:rsid w:val="00F363C4"/>
    <w:rsid w:val="00F365B4"/>
    <w:rsid w:val="00F36717"/>
    <w:rsid w:val="00F36BF6"/>
    <w:rsid w:val="00F36D17"/>
    <w:rsid w:val="00F36E5D"/>
    <w:rsid w:val="00F36F35"/>
    <w:rsid w:val="00F372D5"/>
    <w:rsid w:val="00F375E7"/>
    <w:rsid w:val="00F4084D"/>
    <w:rsid w:val="00F4219A"/>
    <w:rsid w:val="00F4223F"/>
    <w:rsid w:val="00F42734"/>
    <w:rsid w:val="00F42CAD"/>
    <w:rsid w:val="00F43295"/>
    <w:rsid w:val="00F43C7A"/>
    <w:rsid w:val="00F43CAA"/>
    <w:rsid w:val="00F43F55"/>
    <w:rsid w:val="00F4413D"/>
    <w:rsid w:val="00F44B62"/>
    <w:rsid w:val="00F44BF6"/>
    <w:rsid w:val="00F44DE3"/>
    <w:rsid w:val="00F44FE5"/>
    <w:rsid w:val="00F44FEA"/>
    <w:rsid w:val="00F450D1"/>
    <w:rsid w:val="00F45605"/>
    <w:rsid w:val="00F45BAF"/>
    <w:rsid w:val="00F45E90"/>
    <w:rsid w:val="00F45F72"/>
    <w:rsid w:val="00F46233"/>
    <w:rsid w:val="00F46436"/>
    <w:rsid w:val="00F468B3"/>
    <w:rsid w:val="00F47910"/>
    <w:rsid w:val="00F50397"/>
    <w:rsid w:val="00F50B0F"/>
    <w:rsid w:val="00F50E2B"/>
    <w:rsid w:val="00F50FC3"/>
    <w:rsid w:val="00F512D5"/>
    <w:rsid w:val="00F51E36"/>
    <w:rsid w:val="00F51FC2"/>
    <w:rsid w:val="00F5228F"/>
    <w:rsid w:val="00F52617"/>
    <w:rsid w:val="00F5299C"/>
    <w:rsid w:val="00F52C3C"/>
    <w:rsid w:val="00F53239"/>
    <w:rsid w:val="00F5345E"/>
    <w:rsid w:val="00F535B6"/>
    <w:rsid w:val="00F53C9B"/>
    <w:rsid w:val="00F54311"/>
    <w:rsid w:val="00F54781"/>
    <w:rsid w:val="00F54A21"/>
    <w:rsid w:val="00F550C3"/>
    <w:rsid w:val="00F55174"/>
    <w:rsid w:val="00F5521E"/>
    <w:rsid w:val="00F55364"/>
    <w:rsid w:val="00F55AA7"/>
    <w:rsid w:val="00F55D2E"/>
    <w:rsid w:val="00F57A88"/>
    <w:rsid w:val="00F57BF6"/>
    <w:rsid w:val="00F60455"/>
    <w:rsid w:val="00F60462"/>
    <w:rsid w:val="00F608BF"/>
    <w:rsid w:val="00F609F6"/>
    <w:rsid w:val="00F60A1E"/>
    <w:rsid w:val="00F60A3B"/>
    <w:rsid w:val="00F60C15"/>
    <w:rsid w:val="00F61B80"/>
    <w:rsid w:val="00F61C4A"/>
    <w:rsid w:val="00F61CA6"/>
    <w:rsid w:val="00F61CE0"/>
    <w:rsid w:val="00F6270D"/>
    <w:rsid w:val="00F62EDF"/>
    <w:rsid w:val="00F62F58"/>
    <w:rsid w:val="00F63686"/>
    <w:rsid w:val="00F63840"/>
    <w:rsid w:val="00F63978"/>
    <w:rsid w:val="00F63A3A"/>
    <w:rsid w:val="00F64492"/>
    <w:rsid w:val="00F6488C"/>
    <w:rsid w:val="00F64EC2"/>
    <w:rsid w:val="00F6513E"/>
    <w:rsid w:val="00F6520E"/>
    <w:rsid w:val="00F6538B"/>
    <w:rsid w:val="00F65D0E"/>
    <w:rsid w:val="00F65D11"/>
    <w:rsid w:val="00F667A0"/>
    <w:rsid w:val="00F66A6D"/>
    <w:rsid w:val="00F6743C"/>
    <w:rsid w:val="00F6785C"/>
    <w:rsid w:val="00F67A82"/>
    <w:rsid w:val="00F67FD5"/>
    <w:rsid w:val="00F700BD"/>
    <w:rsid w:val="00F70FD8"/>
    <w:rsid w:val="00F713A7"/>
    <w:rsid w:val="00F71DBE"/>
    <w:rsid w:val="00F71FEB"/>
    <w:rsid w:val="00F72156"/>
    <w:rsid w:val="00F730C0"/>
    <w:rsid w:val="00F73481"/>
    <w:rsid w:val="00F738A3"/>
    <w:rsid w:val="00F73916"/>
    <w:rsid w:val="00F73DE3"/>
    <w:rsid w:val="00F73F6E"/>
    <w:rsid w:val="00F7408C"/>
    <w:rsid w:val="00F7461D"/>
    <w:rsid w:val="00F7499E"/>
    <w:rsid w:val="00F74AA6"/>
    <w:rsid w:val="00F74ACF"/>
    <w:rsid w:val="00F76578"/>
    <w:rsid w:val="00F76BE3"/>
    <w:rsid w:val="00F7798A"/>
    <w:rsid w:val="00F77A0D"/>
    <w:rsid w:val="00F77AC8"/>
    <w:rsid w:val="00F77B5F"/>
    <w:rsid w:val="00F77B6C"/>
    <w:rsid w:val="00F77C20"/>
    <w:rsid w:val="00F80CE1"/>
    <w:rsid w:val="00F80FD9"/>
    <w:rsid w:val="00F823E7"/>
    <w:rsid w:val="00F8262D"/>
    <w:rsid w:val="00F83076"/>
    <w:rsid w:val="00F83C36"/>
    <w:rsid w:val="00F83CCB"/>
    <w:rsid w:val="00F83DCF"/>
    <w:rsid w:val="00F84212"/>
    <w:rsid w:val="00F84236"/>
    <w:rsid w:val="00F8492C"/>
    <w:rsid w:val="00F8591D"/>
    <w:rsid w:val="00F85929"/>
    <w:rsid w:val="00F85B37"/>
    <w:rsid w:val="00F86D50"/>
    <w:rsid w:val="00F872EF"/>
    <w:rsid w:val="00F87C94"/>
    <w:rsid w:val="00F90C6F"/>
    <w:rsid w:val="00F90EB7"/>
    <w:rsid w:val="00F928D8"/>
    <w:rsid w:val="00F92F19"/>
    <w:rsid w:val="00F93687"/>
    <w:rsid w:val="00F93B80"/>
    <w:rsid w:val="00F94065"/>
    <w:rsid w:val="00F94329"/>
    <w:rsid w:val="00F94566"/>
    <w:rsid w:val="00F94717"/>
    <w:rsid w:val="00F94816"/>
    <w:rsid w:val="00F948D7"/>
    <w:rsid w:val="00F94B59"/>
    <w:rsid w:val="00F95442"/>
    <w:rsid w:val="00F95E66"/>
    <w:rsid w:val="00F96793"/>
    <w:rsid w:val="00F97984"/>
    <w:rsid w:val="00F97B67"/>
    <w:rsid w:val="00F97DEF"/>
    <w:rsid w:val="00F97F5B"/>
    <w:rsid w:val="00FA0142"/>
    <w:rsid w:val="00FA04F5"/>
    <w:rsid w:val="00FA0CAB"/>
    <w:rsid w:val="00FA0DE5"/>
    <w:rsid w:val="00FA160F"/>
    <w:rsid w:val="00FA1DF0"/>
    <w:rsid w:val="00FA2A63"/>
    <w:rsid w:val="00FA2C89"/>
    <w:rsid w:val="00FA2F99"/>
    <w:rsid w:val="00FA37F5"/>
    <w:rsid w:val="00FA3BCD"/>
    <w:rsid w:val="00FA3BF0"/>
    <w:rsid w:val="00FA3D15"/>
    <w:rsid w:val="00FA41E3"/>
    <w:rsid w:val="00FA4303"/>
    <w:rsid w:val="00FA4AEA"/>
    <w:rsid w:val="00FA4DB2"/>
    <w:rsid w:val="00FA4F8B"/>
    <w:rsid w:val="00FA4FBE"/>
    <w:rsid w:val="00FA546D"/>
    <w:rsid w:val="00FA5DB5"/>
    <w:rsid w:val="00FA60CF"/>
    <w:rsid w:val="00FA6887"/>
    <w:rsid w:val="00FA68D8"/>
    <w:rsid w:val="00FA6AA2"/>
    <w:rsid w:val="00FA73BF"/>
    <w:rsid w:val="00FA7ABD"/>
    <w:rsid w:val="00FA7EFE"/>
    <w:rsid w:val="00FB0CEC"/>
    <w:rsid w:val="00FB0ECF"/>
    <w:rsid w:val="00FB1331"/>
    <w:rsid w:val="00FB1361"/>
    <w:rsid w:val="00FB1F3F"/>
    <w:rsid w:val="00FB20E5"/>
    <w:rsid w:val="00FB326C"/>
    <w:rsid w:val="00FB34A4"/>
    <w:rsid w:val="00FB3733"/>
    <w:rsid w:val="00FB462C"/>
    <w:rsid w:val="00FB55A8"/>
    <w:rsid w:val="00FB6121"/>
    <w:rsid w:val="00FB6990"/>
    <w:rsid w:val="00FB7179"/>
    <w:rsid w:val="00FB7A23"/>
    <w:rsid w:val="00FC0384"/>
    <w:rsid w:val="00FC089F"/>
    <w:rsid w:val="00FC1546"/>
    <w:rsid w:val="00FC2322"/>
    <w:rsid w:val="00FC2652"/>
    <w:rsid w:val="00FC268F"/>
    <w:rsid w:val="00FC29D1"/>
    <w:rsid w:val="00FC2B4C"/>
    <w:rsid w:val="00FC2C20"/>
    <w:rsid w:val="00FC33F3"/>
    <w:rsid w:val="00FC36CA"/>
    <w:rsid w:val="00FC3B0A"/>
    <w:rsid w:val="00FC5BEC"/>
    <w:rsid w:val="00FC5FAC"/>
    <w:rsid w:val="00FC64B4"/>
    <w:rsid w:val="00FC6F80"/>
    <w:rsid w:val="00FC725B"/>
    <w:rsid w:val="00FC7F57"/>
    <w:rsid w:val="00FD036A"/>
    <w:rsid w:val="00FD0C09"/>
    <w:rsid w:val="00FD0D22"/>
    <w:rsid w:val="00FD0D46"/>
    <w:rsid w:val="00FD0F3A"/>
    <w:rsid w:val="00FD1166"/>
    <w:rsid w:val="00FD1C02"/>
    <w:rsid w:val="00FD1DC2"/>
    <w:rsid w:val="00FD1E64"/>
    <w:rsid w:val="00FD1F29"/>
    <w:rsid w:val="00FD1FFF"/>
    <w:rsid w:val="00FD20ED"/>
    <w:rsid w:val="00FD21F2"/>
    <w:rsid w:val="00FD25D5"/>
    <w:rsid w:val="00FD2DA0"/>
    <w:rsid w:val="00FD33F2"/>
    <w:rsid w:val="00FD3DDE"/>
    <w:rsid w:val="00FD3EC2"/>
    <w:rsid w:val="00FD479A"/>
    <w:rsid w:val="00FD4D8A"/>
    <w:rsid w:val="00FD5985"/>
    <w:rsid w:val="00FD5BEB"/>
    <w:rsid w:val="00FD64D3"/>
    <w:rsid w:val="00FD6805"/>
    <w:rsid w:val="00FD6875"/>
    <w:rsid w:val="00FD6C5B"/>
    <w:rsid w:val="00FD7872"/>
    <w:rsid w:val="00FD78AB"/>
    <w:rsid w:val="00FD7991"/>
    <w:rsid w:val="00FE0555"/>
    <w:rsid w:val="00FE0C52"/>
    <w:rsid w:val="00FE0E36"/>
    <w:rsid w:val="00FE0EAB"/>
    <w:rsid w:val="00FE1039"/>
    <w:rsid w:val="00FE1254"/>
    <w:rsid w:val="00FE19B9"/>
    <w:rsid w:val="00FE1A36"/>
    <w:rsid w:val="00FE1A98"/>
    <w:rsid w:val="00FE1B3C"/>
    <w:rsid w:val="00FE23A4"/>
    <w:rsid w:val="00FE244D"/>
    <w:rsid w:val="00FE25D7"/>
    <w:rsid w:val="00FE2B75"/>
    <w:rsid w:val="00FE3754"/>
    <w:rsid w:val="00FE3B98"/>
    <w:rsid w:val="00FE431A"/>
    <w:rsid w:val="00FE443E"/>
    <w:rsid w:val="00FE49DB"/>
    <w:rsid w:val="00FE518D"/>
    <w:rsid w:val="00FE5F29"/>
    <w:rsid w:val="00FE6206"/>
    <w:rsid w:val="00FE64E7"/>
    <w:rsid w:val="00FE670A"/>
    <w:rsid w:val="00FE6796"/>
    <w:rsid w:val="00FF03AD"/>
    <w:rsid w:val="00FF0F38"/>
    <w:rsid w:val="00FF12BB"/>
    <w:rsid w:val="00FF1C46"/>
    <w:rsid w:val="00FF1F81"/>
    <w:rsid w:val="00FF25A4"/>
    <w:rsid w:val="00FF2618"/>
    <w:rsid w:val="00FF3242"/>
    <w:rsid w:val="00FF3D93"/>
    <w:rsid w:val="00FF3DDD"/>
    <w:rsid w:val="00FF42F9"/>
    <w:rsid w:val="00FF4B30"/>
    <w:rsid w:val="00FF5066"/>
    <w:rsid w:val="00FF52FA"/>
    <w:rsid w:val="00FF5576"/>
    <w:rsid w:val="00FF6109"/>
    <w:rsid w:val="00FF618A"/>
    <w:rsid w:val="00FF6A78"/>
    <w:rsid w:val="00FF6CC3"/>
    <w:rsid w:val="00FF7034"/>
    <w:rsid w:val="00FF78F6"/>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A5"/>
    <w:pPr>
      <w:suppressAutoHyphens/>
    </w:pPr>
    <w:rPr>
      <w:kern w:val="1"/>
      <w:sz w:val="24"/>
      <w:szCs w:val="24"/>
      <w:lang w:val="en-GB" w:eastAsia="ar-SA"/>
    </w:rPr>
  </w:style>
  <w:style w:type="paragraph" w:styleId="Heading2">
    <w:name w:val="heading 2"/>
    <w:basedOn w:val="Normal"/>
    <w:next w:val="BodyText"/>
    <w:link w:val="Heading2Char1"/>
    <w:uiPriority w:val="99"/>
    <w:qFormat/>
    <w:locked/>
    <w:rsid w:val="00B8762D"/>
    <w:pPr>
      <w:tabs>
        <w:tab w:val="num" w:pos="1440"/>
      </w:tabs>
      <w:ind w:left="1440" w:hanging="360"/>
      <w:outlineLvl w:val="1"/>
    </w:pPr>
    <w:rPr>
      <w:rFonts w:ascii="Tahoma" w:hAnsi="Tahoma"/>
      <w:b/>
      <w:bCs/>
      <w:iCs/>
      <w:color w:val="8CC63F"/>
      <w:sz w:val="26"/>
      <w:szCs w:val="22"/>
    </w:rPr>
  </w:style>
  <w:style w:type="paragraph" w:styleId="Heading3">
    <w:name w:val="heading 3"/>
    <w:basedOn w:val="Normal"/>
    <w:next w:val="Normal"/>
    <w:link w:val="Heading3Char"/>
    <w:uiPriority w:val="99"/>
    <w:qFormat/>
    <w:locked/>
    <w:rsid w:val="005E3617"/>
    <w:pPr>
      <w:keepNext/>
      <w:suppressAutoHyphens w:val="0"/>
      <w:spacing w:before="240" w:after="60" w:line="240" w:lineRule="exact"/>
      <w:outlineLvl w:val="2"/>
    </w:pPr>
    <w:rPr>
      <w:rFonts w:ascii="Arial" w:hAnsi="Arial" w:cs="Arial"/>
      <w:b/>
      <w:bCs/>
      <w:kern w:val="0"/>
      <w:sz w:val="26"/>
      <w:szCs w:val="26"/>
      <w:lang w:val="hr-H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20E"/>
    <w:rPr>
      <w:rFonts w:ascii="Cambria" w:hAnsi="Cambria" w:cs="Times New Roman"/>
      <w:b/>
      <w:bCs/>
      <w:i/>
      <w:iCs/>
      <w:kern w:val="1"/>
      <w:sz w:val="28"/>
      <w:szCs w:val="28"/>
      <w:lang w:val="en-GB" w:eastAsia="ar-SA" w:bidi="ar-SA"/>
    </w:rPr>
  </w:style>
  <w:style w:type="character" w:customStyle="1" w:styleId="Heading3Char">
    <w:name w:val="Heading 3 Char"/>
    <w:basedOn w:val="DefaultParagraphFont"/>
    <w:link w:val="Heading3"/>
    <w:uiPriority w:val="99"/>
    <w:semiHidden/>
    <w:locked/>
    <w:rsid w:val="003A5D5D"/>
    <w:rPr>
      <w:rFonts w:ascii="Cambria" w:hAnsi="Cambria" w:cs="Times New Roman"/>
      <w:b/>
      <w:bCs/>
      <w:kern w:val="1"/>
      <w:sz w:val="26"/>
      <w:szCs w:val="26"/>
      <w:lang w:val="en-GB" w:eastAsia="ar-SA" w:bidi="ar-SA"/>
    </w:rPr>
  </w:style>
  <w:style w:type="character" w:styleId="PageNumber">
    <w:name w:val="page number"/>
    <w:basedOn w:val="DefaultParagraphFont"/>
    <w:uiPriority w:val="99"/>
    <w:rsid w:val="00364F72"/>
    <w:rPr>
      <w:rFonts w:cs="Times New Roman"/>
    </w:rPr>
  </w:style>
  <w:style w:type="character" w:styleId="Hyperlink">
    <w:name w:val="Hyperlink"/>
    <w:basedOn w:val="DefaultParagraphFont"/>
    <w:uiPriority w:val="99"/>
    <w:rsid w:val="00364F72"/>
    <w:rPr>
      <w:rFonts w:cs="Times New Roman"/>
      <w:color w:val="0000FF"/>
      <w:sz w:val="20"/>
      <w:u w:val="single"/>
    </w:rPr>
  </w:style>
  <w:style w:type="paragraph" w:styleId="BodyText">
    <w:name w:val="Body Text"/>
    <w:basedOn w:val="Normal"/>
    <w:link w:val="BodyTextChar"/>
    <w:uiPriority w:val="99"/>
    <w:rsid w:val="00364F72"/>
    <w:pPr>
      <w:keepLines/>
      <w:spacing w:line="300" w:lineRule="exact"/>
    </w:pPr>
    <w:rPr>
      <w:rFonts w:ascii="Tele-GroteskEENor" w:hAnsi="Tele-GroteskEENor" w:cs="Arial"/>
      <w:sz w:val="20"/>
      <w:szCs w:val="20"/>
      <w:lang w:val="en-US" w:eastAsia="en-US"/>
    </w:rPr>
  </w:style>
  <w:style w:type="character" w:customStyle="1" w:styleId="BodyTextChar">
    <w:name w:val="Body Text Char"/>
    <w:basedOn w:val="DefaultParagraphFont"/>
    <w:link w:val="BodyText"/>
    <w:uiPriority w:val="99"/>
    <w:semiHidden/>
    <w:locked/>
    <w:rsid w:val="00363FF0"/>
    <w:rPr>
      <w:rFonts w:cs="Times New Roman"/>
      <w:kern w:val="1"/>
      <w:sz w:val="24"/>
      <w:szCs w:val="24"/>
      <w:lang w:val="en-GB" w:eastAsia="ar-SA" w:bidi="ar-SA"/>
    </w:rPr>
  </w:style>
  <w:style w:type="paragraph" w:styleId="Header">
    <w:name w:val="header"/>
    <w:basedOn w:val="Normal"/>
    <w:link w:val="HeaderChar"/>
    <w:uiPriority w:val="99"/>
    <w:rsid w:val="00364F72"/>
    <w:pPr>
      <w:keepLines/>
      <w:tabs>
        <w:tab w:val="center" w:pos="4536"/>
        <w:tab w:val="right" w:pos="9072"/>
      </w:tabs>
      <w:spacing w:line="440" w:lineRule="exact"/>
    </w:pPr>
    <w:rPr>
      <w:rFonts w:ascii="Tele-AntiquaEE" w:hAnsi="Tele-AntiquaEE" w:cs="Times New (W1)"/>
      <w:color w:val="666666"/>
      <w:sz w:val="44"/>
      <w:szCs w:val="44"/>
      <w:lang w:val="en-US" w:eastAsia="en-US"/>
    </w:rPr>
  </w:style>
  <w:style w:type="character" w:customStyle="1" w:styleId="HeaderChar">
    <w:name w:val="Header Char"/>
    <w:basedOn w:val="DefaultParagraphFont"/>
    <w:link w:val="Header"/>
    <w:uiPriority w:val="99"/>
    <w:semiHidden/>
    <w:locked/>
    <w:rsid w:val="00363FF0"/>
    <w:rPr>
      <w:rFonts w:cs="Times New Roman"/>
      <w:kern w:val="1"/>
      <w:sz w:val="24"/>
      <w:szCs w:val="24"/>
      <w:lang w:val="en-GB" w:eastAsia="ar-SA" w:bidi="ar-SA"/>
    </w:rPr>
  </w:style>
  <w:style w:type="paragraph" w:styleId="Footer">
    <w:name w:val="footer"/>
    <w:basedOn w:val="Normal"/>
    <w:link w:val="FooterChar"/>
    <w:uiPriority w:val="99"/>
    <w:rsid w:val="00364F72"/>
    <w:pPr>
      <w:keepLines/>
      <w:tabs>
        <w:tab w:val="center" w:pos="4536"/>
        <w:tab w:val="right" w:pos="9072"/>
      </w:tabs>
      <w:spacing w:line="300" w:lineRule="exact"/>
    </w:pPr>
    <w:rPr>
      <w:rFonts w:ascii="Tele-GroteskEENor" w:hAnsi="Tele-GroteskEENor" w:cs="Arial"/>
      <w:szCs w:val="20"/>
      <w:lang w:val="en-US" w:eastAsia="en-US"/>
    </w:rPr>
  </w:style>
  <w:style w:type="character" w:customStyle="1" w:styleId="FooterChar">
    <w:name w:val="Footer Char"/>
    <w:basedOn w:val="DefaultParagraphFont"/>
    <w:link w:val="Footer"/>
    <w:uiPriority w:val="99"/>
    <w:semiHidden/>
    <w:locked/>
    <w:rsid w:val="00363FF0"/>
    <w:rPr>
      <w:rFonts w:cs="Times New Roman"/>
      <w:kern w:val="1"/>
      <w:sz w:val="24"/>
      <w:szCs w:val="24"/>
      <w:lang w:val="en-GB" w:eastAsia="ar-SA" w:bidi="ar-SA"/>
    </w:rPr>
  </w:style>
  <w:style w:type="paragraph" w:customStyle="1" w:styleId="KorpInf">
    <w:name w:val="Korp.Inf"/>
    <w:uiPriority w:val="99"/>
    <w:rsid w:val="00364F72"/>
    <w:pPr>
      <w:spacing w:line="180" w:lineRule="exact"/>
      <w:jc w:val="right"/>
    </w:pPr>
    <w:rPr>
      <w:rFonts w:ascii="Tele-GroteskEEHal" w:hAnsi="Tele-GroteskEEHal" w:cs="Times New (W1)"/>
      <w:color w:val="666666"/>
      <w:sz w:val="18"/>
      <w:szCs w:val="18"/>
      <w:lang w:val="en-US"/>
    </w:rPr>
  </w:style>
  <w:style w:type="paragraph" w:customStyle="1" w:styleId="Adrtvrtke">
    <w:name w:val="Adr.tvrtke"/>
    <w:uiPriority w:val="99"/>
    <w:rsid w:val="00364F72"/>
    <w:pPr>
      <w:spacing w:line="180" w:lineRule="exact"/>
    </w:pPr>
    <w:rPr>
      <w:rFonts w:ascii="Tele-GroteskEENor" w:hAnsi="Tele-GroteskEENor" w:cs="Times New (W1)"/>
      <w:color w:val="666666"/>
      <w:sz w:val="18"/>
      <w:szCs w:val="18"/>
    </w:rPr>
  </w:style>
  <w:style w:type="paragraph" w:customStyle="1" w:styleId="ListBulletdash">
    <w:name w:val="List Bullet dash"/>
    <w:uiPriority w:val="99"/>
    <w:rsid w:val="00364F72"/>
    <w:pPr>
      <w:numPr>
        <w:numId w:val="1"/>
      </w:numPr>
    </w:pPr>
    <w:rPr>
      <w:rFonts w:ascii="Tahoma" w:hAnsi="Tahoma"/>
      <w:color w:val="000000"/>
      <w:sz w:val="20"/>
      <w:szCs w:val="20"/>
      <w:lang w:val="en-GB" w:eastAsia="en-US"/>
    </w:rPr>
  </w:style>
  <w:style w:type="paragraph" w:styleId="BalloonText">
    <w:name w:val="Balloon Text"/>
    <w:basedOn w:val="Normal"/>
    <w:link w:val="BalloonTextChar"/>
    <w:uiPriority w:val="99"/>
    <w:semiHidden/>
    <w:rsid w:val="008815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FF0"/>
    <w:rPr>
      <w:rFonts w:cs="Times New Roman"/>
      <w:kern w:val="1"/>
      <w:sz w:val="2"/>
      <w:lang w:val="en-GB" w:eastAsia="ar-SA" w:bidi="ar-SA"/>
    </w:rPr>
  </w:style>
  <w:style w:type="paragraph" w:customStyle="1" w:styleId="Default">
    <w:name w:val="Default"/>
    <w:uiPriority w:val="99"/>
    <w:rsid w:val="00B3625C"/>
    <w:pPr>
      <w:autoSpaceDE w:val="0"/>
      <w:autoSpaceDN w:val="0"/>
      <w:adjustRightInd w:val="0"/>
    </w:pPr>
    <w:rPr>
      <w:rFonts w:ascii="Tele-GroteskEEHal" w:hAnsi="Tele-GroteskEEHal" w:cs="Tele-GroteskEEHal"/>
      <w:color w:val="000000"/>
      <w:sz w:val="24"/>
      <w:szCs w:val="24"/>
    </w:rPr>
  </w:style>
  <w:style w:type="table" w:styleId="TableGrid">
    <w:name w:val="Table Grid"/>
    <w:basedOn w:val="TableNormal"/>
    <w:uiPriority w:val="99"/>
    <w:rsid w:val="00BE4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A5FFC"/>
    <w:pPr>
      <w:spacing w:line="240" w:lineRule="exact"/>
      <w:ind w:left="708"/>
    </w:pPr>
    <w:rPr>
      <w:rFonts w:ascii="Arial" w:hAnsi="Arial" w:cs="Arial"/>
      <w:sz w:val="20"/>
      <w:szCs w:val="20"/>
      <w:lang w:val="hr-HR"/>
    </w:rPr>
  </w:style>
  <w:style w:type="character" w:styleId="CommentReference">
    <w:name w:val="annotation reference"/>
    <w:basedOn w:val="DefaultParagraphFont"/>
    <w:uiPriority w:val="99"/>
    <w:rsid w:val="008A5FFC"/>
    <w:rPr>
      <w:rFonts w:cs="Times New Roman"/>
      <w:sz w:val="16"/>
      <w:szCs w:val="16"/>
    </w:rPr>
  </w:style>
  <w:style w:type="paragraph" w:styleId="CommentText">
    <w:name w:val="annotation text"/>
    <w:basedOn w:val="Normal"/>
    <w:link w:val="CommentTextChar"/>
    <w:uiPriority w:val="99"/>
    <w:rsid w:val="008A5FFC"/>
    <w:pPr>
      <w:suppressAutoHyphens w:val="0"/>
    </w:pPr>
    <w:rPr>
      <w:kern w:val="0"/>
      <w:sz w:val="20"/>
      <w:szCs w:val="20"/>
      <w:lang w:eastAsia="hr-HR"/>
    </w:rPr>
  </w:style>
  <w:style w:type="character" w:customStyle="1" w:styleId="CommentTextChar">
    <w:name w:val="Comment Text Char"/>
    <w:basedOn w:val="DefaultParagraphFont"/>
    <w:link w:val="CommentText"/>
    <w:uiPriority w:val="99"/>
    <w:locked/>
    <w:rsid w:val="008A5FFC"/>
    <w:rPr>
      <w:rFonts w:cs="Times New Roman"/>
      <w:lang w:val="en-GB" w:eastAsia="hr-HR" w:bidi="ar-SA"/>
    </w:rPr>
  </w:style>
  <w:style w:type="character" w:styleId="Strong">
    <w:name w:val="Strong"/>
    <w:basedOn w:val="DefaultParagraphFont"/>
    <w:uiPriority w:val="99"/>
    <w:qFormat/>
    <w:rsid w:val="0089064D"/>
    <w:rPr>
      <w:rFonts w:cs="Times New Roman"/>
      <w:b/>
      <w:bCs/>
    </w:rPr>
  </w:style>
  <w:style w:type="paragraph" w:customStyle="1" w:styleId="T2">
    <w:name w:val="T2"/>
    <w:basedOn w:val="Normal"/>
    <w:uiPriority w:val="99"/>
    <w:rsid w:val="00DC551C"/>
    <w:pPr>
      <w:spacing w:after="360" w:line="300" w:lineRule="atLeast"/>
      <w:jc w:val="both"/>
    </w:pPr>
    <w:rPr>
      <w:rFonts w:ascii="Arial" w:hAnsi="Arial"/>
      <w:sz w:val="19"/>
      <w:szCs w:val="20"/>
    </w:rPr>
  </w:style>
  <w:style w:type="paragraph" w:customStyle="1" w:styleId="t1">
    <w:name w:val="t1"/>
    <w:basedOn w:val="Normal"/>
    <w:uiPriority w:val="99"/>
    <w:rsid w:val="00DC551C"/>
    <w:pPr>
      <w:spacing w:after="120" w:line="300" w:lineRule="atLeast"/>
      <w:jc w:val="both"/>
    </w:pPr>
    <w:rPr>
      <w:rFonts w:ascii="Arial" w:hAnsi="Arial" w:cs="Arial"/>
      <w:sz w:val="19"/>
      <w:szCs w:val="19"/>
      <w:lang w:val="hr-HR"/>
    </w:rPr>
  </w:style>
  <w:style w:type="paragraph" w:styleId="CommentSubject">
    <w:name w:val="annotation subject"/>
    <w:basedOn w:val="CommentText"/>
    <w:next w:val="CommentText"/>
    <w:link w:val="CommentSubjectChar"/>
    <w:uiPriority w:val="99"/>
    <w:semiHidden/>
    <w:rsid w:val="00E26A64"/>
    <w:pPr>
      <w:suppressAutoHyphens/>
    </w:pPr>
    <w:rPr>
      <w:b/>
      <w:bCs/>
      <w:kern w:val="1"/>
      <w:lang w:eastAsia="ar-SA"/>
    </w:rPr>
  </w:style>
  <w:style w:type="character" w:customStyle="1" w:styleId="CommentSubjectChar">
    <w:name w:val="Comment Subject Char"/>
    <w:basedOn w:val="CommentTextChar"/>
    <w:link w:val="CommentSubject"/>
    <w:uiPriority w:val="99"/>
    <w:semiHidden/>
    <w:locked/>
    <w:rsid w:val="00363FF0"/>
    <w:rPr>
      <w:b/>
      <w:bCs/>
      <w:kern w:val="1"/>
      <w:sz w:val="20"/>
      <w:szCs w:val="20"/>
      <w:lang w:eastAsia="ar-SA"/>
    </w:rPr>
  </w:style>
  <w:style w:type="paragraph" w:customStyle="1" w:styleId="T10">
    <w:name w:val="T1"/>
    <w:basedOn w:val="Normal"/>
    <w:link w:val="T1Char"/>
    <w:uiPriority w:val="99"/>
    <w:rsid w:val="004706BE"/>
    <w:pPr>
      <w:suppressAutoHyphens w:val="0"/>
      <w:spacing w:after="120" w:line="300" w:lineRule="atLeast"/>
      <w:jc w:val="both"/>
    </w:pPr>
    <w:rPr>
      <w:rFonts w:ascii="Arial" w:hAnsi="Arial"/>
      <w:kern w:val="19"/>
      <w:sz w:val="19"/>
      <w:szCs w:val="20"/>
      <w:lang w:eastAsia="en-US"/>
    </w:rPr>
  </w:style>
  <w:style w:type="character" w:customStyle="1" w:styleId="T1Char">
    <w:name w:val="T1 Char"/>
    <w:basedOn w:val="DefaultParagraphFont"/>
    <w:link w:val="T10"/>
    <w:uiPriority w:val="99"/>
    <w:locked/>
    <w:rsid w:val="004706BE"/>
    <w:rPr>
      <w:rFonts w:ascii="Arial" w:hAnsi="Arial" w:cs="Times New Roman"/>
      <w:kern w:val="19"/>
      <w:sz w:val="19"/>
      <w:lang w:val="en-GB" w:eastAsia="en-US" w:bidi="ar-SA"/>
    </w:rPr>
  </w:style>
  <w:style w:type="paragraph" w:customStyle="1" w:styleId="TableText">
    <w:name w:val="Table Text"/>
    <w:basedOn w:val="Normal"/>
    <w:link w:val="TableTextChar"/>
    <w:uiPriority w:val="99"/>
    <w:rsid w:val="004706BE"/>
    <w:pPr>
      <w:suppressAutoHyphens w:val="0"/>
      <w:spacing w:line="300" w:lineRule="atLeast"/>
    </w:pPr>
    <w:rPr>
      <w:rFonts w:ascii="Arial" w:hAnsi="Arial"/>
      <w:kern w:val="19"/>
      <w:sz w:val="19"/>
      <w:szCs w:val="20"/>
      <w:lang w:eastAsia="en-US"/>
    </w:rPr>
  </w:style>
  <w:style w:type="character" w:customStyle="1" w:styleId="TableTextChar">
    <w:name w:val="Table Text Char"/>
    <w:basedOn w:val="DefaultParagraphFont"/>
    <w:link w:val="TableText"/>
    <w:uiPriority w:val="99"/>
    <w:locked/>
    <w:rsid w:val="004706BE"/>
    <w:rPr>
      <w:rFonts w:ascii="Arial" w:hAnsi="Arial" w:cs="Times New Roman"/>
      <w:kern w:val="19"/>
      <w:sz w:val="19"/>
      <w:lang w:val="en-GB" w:eastAsia="en-US" w:bidi="ar-SA"/>
    </w:rPr>
  </w:style>
  <w:style w:type="paragraph" w:customStyle="1" w:styleId="TableUnderline">
    <w:name w:val="Table Underline"/>
    <w:basedOn w:val="TableText"/>
    <w:next w:val="Normal"/>
    <w:link w:val="TableUnderlineChar"/>
    <w:uiPriority w:val="99"/>
    <w:rsid w:val="004706BE"/>
    <w:pPr>
      <w:spacing w:line="100" w:lineRule="exact"/>
    </w:pPr>
    <w:rPr>
      <w:position w:val="5"/>
    </w:rPr>
  </w:style>
  <w:style w:type="character" w:customStyle="1" w:styleId="TableUnderlineChar">
    <w:name w:val="Table Underline Char"/>
    <w:basedOn w:val="TableTextChar"/>
    <w:link w:val="TableUnderline"/>
    <w:uiPriority w:val="99"/>
    <w:locked/>
    <w:rsid w:val="004706BE"/>
    <w:rPr>
      <w:position w:val="5"/>
    </w:rPr>
  </w:style>
  <w:style w:type="paragraph" w:customStyle="1" w:styleId="t100">
    <w:name w:val="t10"/>
    <w:basedOn w:val="Normal"/>
    <w:uiPriority w:val="99"/>
    <w:rsid w:val="004706BE"/>
    <w:pPr>
      <w:suppressAutoHyphens w:val="0"/>
      <w:spacing w:after="120" w:line="300" w:lineRule="atLeast"/>
      <w:jc w:val="both"/>
    </w:pPr>
    <w:rPr>
      <w:rFonts w:ascii="Arial" w:hAnsi="Arial" w:cs="Arial"/>
      <w:kern w:val="0"/>
      <w:sz w:val="19"/>
      <w:szCs w:val="19"/>
      <w:lang w:val="hr-HR" w:eastAsia="hr-HR"/>
    </w:rPr>
  </w:style>
  <w:style w:type="paragraph" w:customStyle="1" w:styleId="Lijevo">
    <w:name w:val="Lijevo"/>
    <w:basedOn w:val="Normal"/>
    <w:uiPriority w:val="99"/>
    <w:rsid w:val="004706BE"/>
    <w:pPr>
      <w:tabs>
        <w:tab w:val="right" w:pos="1588"/>
        <w:tab w:val="left" w:pos="1814"/>
      </w:tabs>
      <w:suppressAutoHyphens w:val="0"/>
      <w:spacing w:after="240"/>
    </w:pPr>
    <w:rPr>
      <w:rFonts w:ascii="CachetBook" w:hAnsi="CachetBook"/>
      <w:kern w:val="0"/>
      <w:sz w:val="16"/>
      <w:lang w:val="hr-HR" w:eastAsia="hr-HR"/>
    </w:rPr>
  </w:style>
  <w:style w:type="paragraph" w:styleId="Revision">
    <w:name w:val="Revision"/>
    <w:hidden/>
    <w:uiPriority w:val="99"/>
    <w:semiHidden/>
    <w:rsid w:val="009E734A"/>
    <w:rPr>
      <w:kern w:val="1"/>
      <w:sz w:val="24"/>
      <w:szCs w:val="24"/>
      <w:lang w:val="en-GB" w:eastAsia="ar-SA"/>
    </w:rPr>
  </w:style>
  <w:style w:type="character" w:customStyle="1" w:styleId="Heading2Char1">
    <w:name w:val="Heading 2 Char1"/>
    <w:basedOn w:val="DefaultParagraphFont"/>
    <w:link w:val="Heading2"/>
    <w:uiPriority w:val="99"/>
    <w:semiHidden/>
    <w:locked/>
    <w:rsid w:val="00B8762D"/>
    <w:rPr>
      <w:rFonts w:ascii="Tahoma" w:hAnsi="Tahoma" w:cs="Times New Roman"/>
      <w:b/>
      <w:bCs/>
      <w:iCs/>
      <w:color w:val="8CC63F"/>
      <w:kern w:val="1"/>
      <w:sz w:val="22"/>
      <w:szCs w:val="22"/>
      <w:lang w:val="en-GB" w:eastAsia="ar-SA" w:bidi="ar-SA"/>
    </w:rPr>
  </w:style>
  <w:style w:type="character" w:customStyle="1" w:styleId="CharChar24">
    <w:name w:val="Char Char24"/>
    <w:basedOn w:val="DefaultParagraphFont"/>
    <w:uiPriority w:val="99"/>
    <w:semiHidden/>
    <w:locked/>
    <w:rsid w:val="0033002B"/>
    <w:rPr>
      <w:rFonts w:cs="Times New Roman"/>
      <w:sz w:val="24"/>
      <w:szCs w:val="24"/>
      <w:lang w:val="en-GB"/>
    </w:rPr>
  </w:style>
  <w:style w:type="paragraph" w:customStyle="1" w:styleId="msolistparagraph0">
    <w:name w:val="msolistparagraph"/>
    <w:basedOn w:val="Normal"/>
    <w:uiPriority w:val="99"/>
    <w:rsid w:val="00CA1B8B"/>
    <w:pPr>
      <w:suppressAutoHyphens w:val="0"/>
      <w:ind w:left="720"/>
    </w:pPr>
    <w:rPr>
      <w:kern w:val="0"/>
      <w:lang w:val="hr-HR" w:eastAsia="hr-HR"/>
    </w:rPr>
  </w:style>
  <w:style w:type="paragraph" w:customStyle="1" w:styleId="listparagraph0">
    <w:name w:val="listparagraph"/>
    <w:basedOn w:val="Normal"/>
    <w:uiPriority w:val="99"/>
    <w:rsid w:val="00E36B4F"/>
    <w:pPr>
      <w:suppressAutoHyphens w:val="0"/>
      <w:spacing w:line="240" w:lineRule="atLeast"/>
      <w:ind w:left="708"/>
    </w:pPr>
    <w:rPr>
      <w:rFonts w:ascii="Arial" w:hAnsi="Arial" w:cs="Arial"/>
      <w:kern w:val="0"/>
      <w:sz w:val="20"/>
      <w:szCs w:val="20"/>
      <w:lang w:val="hr-HR" w:eastAsia="hr-HR"/>
    </w:rPr>
  </w:style>
  <w:style w:type="paragraph" w:customStyle="1" w:styleId="Heading114pt">
    <w:name w:val="Heading 1 + 14 pt"/>
    <w:basedOn w:val="Normal"/>
    <w:uiPriority w:val="99"/>
    <w:rsid w:val="00935E99"/>
    <w:pPr>
      <w:suppressAutoHyphens w:val="0"/>
      <w:spacing w:line="360" w:lineRule="auto"/>
    </w:pPr>
    <w:rPr>
      <w:kern w:val="0"/>
      <w:lang w:val="en-US" w:eastAsia="en-US"/>
    </w:rPr>
  </w:style>
  <w:style w:type="paragraph" w:customStyle="1" w:styleId="T3">
    <w:name w:val="T3"/>
    <w:basedOn w:val="T2"/>
    <w:next w:val="T10"/>
    <w:uiPriority w:val="99"/>
    <w:rsid w:val="0068294D"/>
    <w:pPr>
      <w:suppressAutoHyphens w:val="0"/>
      <w:spacing w:after="240"/>
    </w:pPr>
    <w:rPr>
      <w:kern w:val="19"/>
      <w:lang w:eastAsia="en-US"/>
    </w:rPr>
  </w:style>
  <w:style w:type="paragraph" w:styleId="NormalWeb">
    <w:name w:val="Normal (Web)"/>
    <w:basedOn w:val="Normal"/>
    <w:uiPriority w:val="99"/>
    <w:rsid w:val="00241A69"/>
    <w:pPr>
      <w:suppressAutoHyphens w:val="0"/>
      <w:spacing w:before="100" w:beforeAutospacing="1" w:after="100" w:afterAutospacing="1"/>
    </w:pPr>
    <w:rPr>
      <w:rFonts w:ascii="Arial" w:hAnsi="Arial" w:cs="Arial"/>
      <w:color w:val="000000"/>
      <w:kern w:val="0"/>
      <w:sz w:val="18"/>
      <w:szCs w:val="18"/>
      <w:lang w:val="hr-HR" w:eastAsia="hr-HR"/>
    </w:rPr>
  </w:style>
  <w:style w:type="paragraph" w:customStyle="1" w:styleId="yiv1244562502msonormal">
    <w:name w:val="yiv1244562502msonormal"/>
    <w:basedOn w:val="Normal"/>
    <w:uiPriority w:val="99"/>
    <w:rsid w:val="00477525"/>
    <w:pPr>
      <w:suppressAutoHyphens w:val="0"/>
      <w:spacing w:before="100" w:beforeAutospacing="1" w:after="100" w:afterAutospacing="1"/>
    </w:pPr>
    <w:rPr>
      <w:kern w:val="0"/>
      <w:lang w:eastAsia="en-GB"/>
    </w:rPr>
  </w:style>
  <w:style w:type="character" w:styleId="FollowedHyperlink">
    <w:name w:val="FollowedHyperlink"/>
    <w:basedOn w:val="DefaultParagraphFont"/>
    <w:uiPriority w:val="99"/>
    <w:semiHidden/>
    <w:rsid w:val="00D248AE"/>
    <w:rPr>
      <w:rFonts w:cs="Times New Roman"/>
      <w:color w:val="800080"/>
      <w:u w:val="single"/>
    </w:rPr>
  </w:style>
  <w:style w:type="paragraph" w:customStyle="1" w:styleId="Numbered2">
    <w:name w:val="Numbered 2"/>
    <w:basedOn w:val="Normal"/>
    <w:next w:val="T10"/>
    <w:uiPriority w:val="99"/>
    <w:rsid w:val="00BA5338"/>
    <w:pPr>
      <w:widowControl w:val="0"/>
      <w:numPr>
        <w:numId w:val="45"/>
      </w:numPr>
      <w:suppressAutoHyphens w:val="0"/>
      <w:adjustRightInd w:val="0"/>
      <w:spacing w:after="120" w:line="300" w:lineRule="atLeast"/>
      <w:jc w:val="both"/>
      <w:textAlignment w:val="baseline"/>
    </w:pPr>
    <w:rPr>
      <w:rFonts w:ascii="Arial" w:hAnsi="Arial" w:cs="Arial"/>
      <w:i/>
      <w:kern w:val="19"/>
      <w:sz w:val="19"/>
      <w:szCs w:val="20"/>
      <w:lang w:val="hr-HR" w:eastAsia="en-US"/>
    </w:rPr>
  </w:style>
  <w:style w:type="paragraph" w:styleId="TOC8">
    <w:name w:val="toc 8"/>
    <w:basedOn w:val="Normal"/>
    <w:next w:val="Normal"/>
    <w:uiPriority w:val="99"/>
    <w:semiHidden/>
    <w:locked/>
    <w:rsid w:val="00BA5338"/>
    <w:pPr>
      <w:widowControl w:val="0"/>
      <w:tabs>
        <w:tab w:val="left" w:leader="dot" w:pos="8646"/>
        <w:tab w:val="right" w:pos="9072"/>
      </w:tabs>
      <w:suppressAutoHyphens w:val="0"/>
      <w:adjustRightInd w:val="0"/>
      <w:spacing w:line="317" w:lineRule="atLeast"/>
      <w:ind w:left="4961" w:right="850"/>
      <w:jc w:val="both"/>
      <w:textAlignment w:val="baseline"/>
    </w:pPr>
    <w:rPr>
      <w:rFonts w:ascii="Arial" w:hAnsi="Arial"/>
      <w:kern w:val="0"/>
      <w:sz w:val="19"/>
      <w:szCs w:val="20"/>
      <w:lang w:val="hr-HR" w:eastAsia="en-US"/>
    </w:rPr>
  </w:style>
  <w:style w:type="paragraph" w:styleId="TOC6">
    <w:name w:val="toc 6"/>
    <w:basedOn w:val="Normal"/>
    <w:next w:val="Normal"/>
    <w:uiPriority w:val="99"/>
    <w:semiHidden/>
    <w:locked/>
    <w:rsid w:val="00BA5338"/>
    <w:pPr>
      <w:widowControl w:val="0"/>
      <w:tabs>
        <w:tab w:val="left" w:leader="dot" w:pos="8646"/>
        <w:tab w:val="right" w:pos="9072"/>
      </w:tabs>
      <w:suppressAutoHyphens w:val="0"/>
      <w:adjustRightInd w:val="0"/>
      <w:spacing w:line="317" w:lineRule="atLeast"/>
      <w:ind w:left="3544" w:right="850"/>
      <w:jc w:val="both"/>
      <w:textAlignment w:val="baseline"/>
    </w:pPr>
    <w:rPr>
      <w:rFonts w:ascii="Arial" w:hAnsi="Arial"/>
      <w:kern w:val="0"/>
      <w:sz w:val="19"/>
      <w:szCs w:val="20"/>
      <w:lang w:val="hr-HR" w:eastAsia="en-US"/>
    </w:rPr>
  </w:style>
</w:styles>
</file>

<file path=word/webSettings.xml><?xml version="1.0" encoding="utf-8"?>
<w:webSettings xmlns:r="http://schemas.openxmlformats.org/officeDocument/2006/relationships" xmlns:w="http://schemas.openxmlformats.org/wordprocessingml/2006/main">
  <w:divs>
    <w:div w:id="2020309426">
      <w:marLeft w:val="0"/>
      <w:marRight w:val="0"/>
      <w:marTop w:val="0"/>
      <w:marBottom w:val="0"/>
      <w:divBdr>
        <w:top w:val="none" w:sz="0" w:space="0" w:color="auto"/>
        <w:left w:val="none" w:sz="0" w:space="0" w:color="auto"/>
        <w:bottom w:val="none" w:sz="0" w:space="0" w:color="auto"/>
        <w:right w:val="none" w:sz="0" w:space="0" w:color="auto"/>
      </w:divBdr>
    </w:div>
    <w:div w:id="2020309433">
      <w:marLeft w:val="0"/>
      <w:marRight w:val="0"/>
      <w:marTop w:val="0"/>
      <w:marBottom w:val="0"/>
      <w:divBdr>
        <w:top w:val="none" w:sz="0" w:space="0" w:color="auto"/>
        <w:left w:val="none" w:sz="0" w:space="0" w:color="auto"/>
        <w:bottom w:val="none" w:sz="0" w:space="0" w:color="auto"/>
        <w:right w:val="none" w:sz="0" w:space="0" w:color="auto"/>
      </w:divBdr>
      <w:divsChild>
        <w:div w:id="2020309496">
          <w:marLeft w:val="0"/>
          <w:marRight w:val="0"/>
          <w:marTop w:val="0"/>
          <w:marBottom w:val="0"/>
          <w:divBdr>
            <w:top w:val="none" w:sz="0" w:space="0" w:color="auto"/>
            <w:left w:val="none" w:sz="0" w:space="0" w:color="auto"/>
            <w:bottom w:val="none" w:sz="0" w:space="0" w:color="auto"/>
            <w:right w:val="none" w:sz="0" w:space="0" w:color="auto"/>
          </w:divBdr>
          <w:divsChild>
            <w:div w:id="2020309456">
              <w:marLeft w:val="0"/>
              <w:marRight w:val="0"/>
              <w:marTop w:val="0"/>
              <w:marBottom w:val="0"/>
              <w:divBdr>
                <w:top w:val="none" w:sz="0" w:space="0" w:color="auto"/>
                <w:left w:val="none" w:sz="0" w:space="0" w:color="auto"/>
                <w:bottom w:val="none" w:sz="0" w:space="0" w:color="auto"/>
                <w:right w:val="none" w:sz="0" w:space="0" w:color="auto"/>
              </w:divBdr>
              <w:divsChild>
                <w:div w:id="2020309476">
                  <w:marLeft w:val="240"/>
                  <w:marRight w:val="240"/>
                  <w:marTop w:val="100"/>
                  <w:marBottom w:val="240"/>
                  <w:divBdr>
                    <w:top w:val="none" w:sz="0" w:space="0" w:color="auto"/>
                    <w:left w:val="none" w:sz="0" w:space="0" w:color="auto"/>
                    <w:bottom w:val="none" w:sz="0" w:space="0" w:color="auto"/>
                    <w:right w:val="none" w:sz="0" w:space="0" w:color="auto"/>
                  </w:divBdr>
                  <w:divsChild>
                    <w:div w:id="2020309439">
                      <w:marLeft w:val="0"/>
                      <w:marRight w:val="0"/>
                      <w:marTop w:val="0"/>
                      <w:marBottom w:val="0"/>
                      <w:divBdr>
                        <w:top w:val="none" w:sz="0" w:space="0" w:color="auto"/>
                        <w:left w:val="none" w:sz="0" w:space="0" w:color="auto"/>
                        <w:bottom w:val="none" w:sz="0" w:space="0" w:color="auto"/>
                        <w:right w:val="none" w:sz="0" w:space="0" w:color="auto"/>
                      </w:divBdr>
                      <w:divsChild>
                        <w:div w:id="2020309481">
                          <w:marLeft w:val="0"/>
                          <w:marRight w:val="0"/>
                          <w:marTop w:val="0"/>
                          <w:marBottom w:val="0"/>
                          <w:divBdr>
                            <w:top w:val="none" w:sz="0" w:space="0" w:color="auto"/>
                            <w:left w:val="none" w:sz="0" w:space="0" w:color="auto"/>
                            <w:bottom w:val="none" w:sz="0" w:space="0" w:color="auto"/>
                            <w:right w:val="none" w:sz="0" w:space="0" w:color="auto"/>
                          </w:divBdr>
                          <w:divsChild>
                            <w:div w:id="2020309488">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438">
      <w:marLeft w:val="0"/>
      <w:marRight w:val="0"/>
      <w:marTop w:val="0"/>
      <w:marBottom w:val="0"/>
      <w:divBdr>
        <w:top w:val="none" w:sz="0" w:space="0" w:color="auto"/>
        <w:left w:val="none" w:sz="0" w:space="0" w:color="auto"/>
        <w:bottom w:val="none" w:sz="0" w:space="0" w:color="auto"/>
        <w:right w:val="none" w:sz="0" w:space="0" w:color="auto"/>
      </w:divBdr>
      <w:divsChild>
        <w:div w:id="2020309492">
          <w:marLeft w:val="0"/>
          <w:marRight w:val="0"/>
          <w:marTop w:val="0"/>
          <w:marBottom w:val="0"/>
          <w:divBdr>
            <w:top w:val="none" w:sz="0" w:space="0" w:color="auto"/>
            <w:left w:val="none" w:sz="0" w:space="0" w:color="auto"/>
            <w:bottom w:val="none" w:sz="0" w:space="0" w:color="auto"/>
            <w:right w:val="none" w:sz="0" w:space="0" w:color="auto"/>
          </w:divBdr>
          <w:divsChild>
            <w:div w:id="2020309428">
              <w:marLeft w:val="0"/>
              <w:marRight w:val="0"/>
              <w:marTop w:val="0"/>
              <w:marBottom w:val="0"/>
              <w:divBdr>
                <w:top w:val="none" w:sz="0" w:space="0" w:color="auto"/>
                <w:left w:val="none" w:sz="0" w:space="0" w:color="auto"/>
                <w:bottom w:val="none" w:sz="0" w:space="0" w:color="auto"/>
                <w:right w:val="none" w:sz="0" w:space="0" w:color="auto"/>
              </w:divBdr>
              <w:divsChild>
                <w:div w:id="2020309473">
                  <w:marLeft w:val="240"/>
                  <w:marRight w:val="240"/>
                  <w:marTop w:val="100"/>
                  <w:marBottom w:val="240"/>
                  <w:divBdr>
                    <w:top w:val="none" w:sz="0" w:space="0" w:color="auto"/>
                    <w:left w:val="none" w:sz="0" w:space="0" w:color="auto"/>
                    <w:bottom w:val="none" w:sz="0" w:space="0" w:color="auto"/>
                    <w:right w:val="none" w:sz="0" w:space="0" w:color="auto"/>
                  </w:divBdr>
                  <w:divsChild>
                    <w:div w:id="2020309463">
                      <w:marLeft w:val="0"/>
                      <w:marRight w:val="0"/>
                      <w:marTop w:val="0"/>
                      <w:marBottom w:val="0"/>
                      <w:divBdr>
                        <w:top w:val="none" w:sz="0" w:space="0" w:color="auto"/>
                        <w:left w:val="none" w:sz="0" w:space="0" w:color="auto"/>
                        <w:bottom w:val="none" w:sz="0" w:space="0" w:color="auto"/>
                        <w:right w:val="none" w:sz="0" w:space="0" w:color="auto"/>
                      </w:divBdr>
                      <w:divsChild>
                        <w:div w:id="2020309437">
                          <w:marLeft w:val="0"/>
                          <w:marRight w:val="0"/>
                          <w:marTop w:val="0"/>
                          <w:marBottom w:val="0"/>
                          <w:divBdr>
                            <w:top w:val="none" w:sz="0" w:space="0" w:color="auto"/>
                            <w:left w:val="none" w:sz="0" w:space="0" w:color="auto"/>
                            <w:bottom w:val="none" w:sz="0" w:space="0" w:color="auto"/>
                            <w:right w:val="none" w:sz="0" w:space="0" w:color="auto"/>
                          </w:divBdr>
                          <w:divsChild>
                            <w:div w:id="2020309466">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448">
      <w:marLeft w:val="0"/>
      <w:marRight w:val="0"/>
      <w:marTop w:val="0"/>
      <w:marBottom w:val="0"/>
      <w:divBdr>
        <w:top w:val="none" w:sz="0" w:space="0" w:color="auto"/>
        <w:left w:val="none" w:sz="0" w:space="0" w:color="auto"/>
        <w:bottom w:val="none" w:sz="0" w:space="0" w:color="auto"/>
        <w:right w:val="none" w:sz="0" w:space="0" w:color="auto"/>
      </w:divBdr>
    </w:div>
    <w:div w:id="2020309452">
      <w:marLeft w:val="0"/>
      <w:marRight w:val="0"/>
      <w:marTop w:val="0"/>
      <w:marBottom w:val="0"/>
      <w:divBdr>
        <w:top w:val="none" w:sz="0" w:space="0" w:color="auto"/>
        <w:left w:val="none" w:sz="0" w:space="0" w:color="auto"/>
        <w:bottom w:val="none" w:sz="0" w:space="0" w:color="auto"/>
        <w:right w:val="none" w:sz="0" w:space="0" w:color="auto"/>
      </w:divBdr>
      <w:divsChild>
        <w:div w:id="2020309462">
          <w:marLeft w:val="0"/>
          <w:marRight w:val="0"/>
          <w:marTop w:val="0"/>
          <w:marBottom w:val="0"/>
          <w:divBdr>
            <w:top w:val="none" w:sz="0" w:space="0" w:color="auto"/>
            <w:left w:val="none" w:sz="0" w:space="0" w:color="auto"/>
            <w:bottom w:val="none" w:sz="0" w:space="0" w:color="auto"/>
            <w:right w:val="none" w:sz="0" w:space="0" w:color="auto"/>
          </w:divBdr>
        </w:div>
      </w:divsChild>
    </w:div>
    <w:div w:id="2020309455">
      <w:marLeft w:val="0"/>
      <w:marRight w:val="0"/>
      <w:marTop w:val="0"/>
      <w:marBottom w:val="0"/>
      <w:divBdr>
        <w:top w:val="none" w:sz="0" w:space="0" w:color="auto"/>
        <w:left w:val="none" w:sz="0" w:space="0" w:color="auto"/>
        <w:bottom w:val="none" w:sz="0" w:space="0" w:color="auto"/>
        <w:right w:val="none" w:sz="0" w:space="0" w:color="auto"/>
      </w:divBdr>
      <w:divsChild>
        <w:div w:id="2020309486">
          <w:marLeft w:val="0"/>
          <w:marRight w:val="0"/>
          <w:marTop w:val="0"/>
          <w:marBottom w:val="0"/>
          <w:divBdr>
            <w:top w:val="none" w:sz="0" w:space="0" w:color="auto"/>
            <w:left w:val="none" w:sz="0" w:space="0" w:color="auto"/>
            <w:bottom w:val="none" w:sz="0" w:space="0" w:color="auto"/>
            <w:right w:val="none" w:sz="0" w:space="0" w:color="auto"/>
          </w:divBdr>
          <w:divsChild>
            <w:div w:id="2020309487">
              <w:marLeft w:val="0"/>
              <w:marRight w:val="0"/>
              <w:marTop w:val="0"/>
              <w:marBottom w:val="0"/>
              <w:divBdr>
                <w:top w:val="none" w:sz="0" w:space="0" w:color="auto"/>
                <w:left w:val="none" w:sz="0" w:space="0" w:color="auto"/>
                <w:bottom w:val="none" w:sz="0" w:space="0" w:color="auto"/>
                <w:right w:val="none" w:sz="0" w:space="0" w:color="auto"/>
              </w:divBdr>
              <w:divsChild>
                <w:div w:id="2020309444">
                  <w:marLeft w:val="240"/>
                  <w:marRight w:val="240"/>
                  <w:marTop w:val="100"/>
                  <w:marBottom w:val="240"/>
                  <w:divBdr>
                    <w:top w:val="none" w:sz="0" w:space="0" w:color="auto"/>
                    <w:left w:val="none" w:sz="0" w:space="0" w:color="auto"/>
                    <w:bottom w:val="none" w:sz="0" w:space="0" w:color="auto"/>
                    <w:right w:val="none" w:sz="0" w:space="0" w:color="auto"/>
                  </w:divBdr>
                  <w:divsChild>
                    <w:div w:id="2020309460">
                      <w:marLeft w:val="0"/>
                      <w:marRight w:val="0"/>
                      <w:marTop w:val="0"/>
                      <w:marBottom w:val="0"/>
                      <w:divBdr>
                        <w:top w:val="none" w:sz="0" w:space="0" w:color="auto"/>
                        <w:left w:val="none" w:sz="0" w:space="0" w:color="auto"/>
                        <w:bottom w:val="none" w:sz="0" w:space="0" w:color="auto"/>
                        <w:right w:val="none" w:sz="0" w:space="0" w:color="auto"/>
                      </w:divBdr>
                      <w:divsChild>
                        <w:div w:id="2020309457">
                          <w:marLeft w:val="0"/>
                          <w:marRight w:val="0"/>
                          <w:marTop w:val="0"/>
                          <w:marBottom w:val="0"/>
                          <w:divBdr>
                            <w:top w:val="none" w:sz="0" w:space="0" w:color="auto"/>
                            <w:left w:val="none" w:sz="0" w:space="0" w:color="auto"/>
                            <w:bottom w:val="none" w:sz="0" w:space="0" w:color="auto"/>
                            <w:right w:val="none" w:sz="0" w:space="0" w:color="auto"/>
                          </w:divBdr>
                          <w:divsChild>
                            <w:div w:id="2020309474">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468">
      <w:marLeft w:val="0"/>
      <w:marRight w:val="0"/>
      <w:marTop w:val="0"/>
      <w:marBottom w:val="0"/>
      <w:divBdr>
        <w:top w:val="none" w:sz="0" w:space="0" w:color="auto"/>
        <w:left w:val="none" w:sz="0" w:space="0" w:color="auto"/>
        <w:bottom w:val="none" w:sz="0" w:space="0" w:color="auto"/>
        <w:right w:val="none" w:sz="0" w:space="0" w:color="auto"/>
      </w:divBdr>
      <w:divsChild>
        <w:div w:id="2020309497">
          <w:marLeft w:val="0"/>
          <w:marRight w:val="0"/>
          <w:marTop w:val="0"/>
          <w:marBottom w:val="0"/>
          <w:divBdr>
            <w:top w:val="none" w:sz="0" w:space="0" w:color="auto"/>
            <w:left w:val="none" w:sz="0" w:space="0" w:color="auto"/>
            <w:bottom w:val="none" w:sz="0" w:space="0" w:color="auto"/>
            <w:right w:val="none" w:sz="0" w:space="0" w:color="auto"/>
          </w:divBdr>
          <w:divsChild>
            <w:div w:id="2020309464">
              <w:marLeft w:val="0"/>
              <w:marRight w:val="0"/>
              <w:marTop w:val="0"/>
              <w:marBottom w:val="0"/>
              <w:divBdr>
                <w:top w:val="none" w:sz="0" w:space="0" w:color="auto"/>
                <w:left w:val="none" w:sz="0" w:space="0" w:color="auto"/>
                <w:bottom w:val="none" w:sz="0" w:space="0" w:color="auto"/>
                <w:right w:val="none" w:sz="0" w:space="0" w:color="auto"/>
              </w:divBdr>
              <w:divsChild>
                <w:div w:id="2020309495">
                  <w:marLeft w:val="240"/>
                  <w:marRight w:val="240"/>
                  <w:marTop w:val="100"/>
                  <w:marBottom w:val="240"/>
                  <w:divBdr>
                    <w:top w:val="none" w:sz="0" w:space="0" w:color="auto"/>
                    <w:left w:val="none" w:sz="0" w:space="0" w:color="auto"/>
                    <w:bottom w:val="none" w:sz="0" w:space="0" w:color="auto"/>
                    <w:right w:val="none" w:sz="0" w:space="0" w:color="auto"/>
                  </w:divBdr>
                  <w:divsChild>
                    <w:div w:id="2020309435">
                      <w:marLeft w:val="0"/>
                      <w:marRight w:val="0"/>
                      <w:marTop w:val="0"/>
                      <w:marBottom w:val="0"/>
                      <w:divBdr>
                        <w:top w:val="none" w:sz="0" w:space="0" w:color="auto"/>
                        <w:left w:val="none" w:sz="0" w:space="0" w:color="auto"/>
                        <w:bottom w:val="none" w:sz="0" w:space="0" w:color="auto"/>
                        <w:right w:val="none" w:sz="0" w:space="0" w:color="auto"/>
                      </w:divBdr>
                      <w:divsChild>
                        <w:div w:id="2020309465">
                          <w:marLeft w:val="0"/>
                          <w:marRight w:val="0"/>
                          <w:marTop w:val="0"/>
                          <w:marBottom w:val="0"/>
                          <w:divBdr>
                            <w:top w:val="none" w:sz="0" w:space="0" w:color="auto"/>
                            <w:left w:val="none" w:sz="0" w:space="0" w:color="auto"/>
                            <w:bottom w:val="none" w:sz="0" w:space="0" w:color="auto"/>
                            <w:right w:val="none" w:sz="0" w:space="0" w:color="auto"/>
                          </w:divBdr>
                          <w:divsChild>
                            <w:div w:id="2020309471">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472">
      <w:marLeft w:val="0"/>
      <w:marRight w:val="0"/>
      <w:marTop w:val="0"/>
      <w:marBottom w:val="0"/>
      <w:divBdr>
        <w:top w:val="none" w:sz="0" w:space="0" w:color="auto"/>
        <w:left w:val="none" w:sz="0" w:space="0" w:color="auto"/>
        <w:bottom w:val="none" w:sz="0" w:space="0" w:color="auto"/>
        <w:right w:val="none" w:sz="0" w:space="0" w:color="auto"/>
      </w:divBdr>
      <w:divsChild>
        <w:div w:id="2020309436">
          <w:marLeft w:val="0"/>
          <w:marRight w:val="0"/>
          <w:marTop w:val="0"/>
          <w:marBottom w:val="0"/>
          <w:divBdr>
            <w:top w:val="none" w:sz="0" w:space="0" w:color="auto"/>
            <w:left w:val="none" w:sz="0" w:space="0" w:color="auto"/>
            <w:bottom w:val="none" w:sz="0" w:space="0" w:color="auto"/>
            <w:right w:val="none" w:sz="0" w:space="0" w:color="auto"/>
          </w:divBdr>
          <w:divsChild>
            <w:div w:id="2020309469">
              <w:marLeft w:val="0"/>
              <w:marRight w:val="0"/>
              <w:marTop w:val="0"/>
              <w:marBottom w:val="0"/>
              <w:divBdr>
                <w:top w:val="none" w:sz="0" w:space="0" w:color="auto"/>
                <w:left w:val="none" w:sz="0" w:space="0" w:color="auto"/>
                <w:bottom w:val="none" w:sz="0" w:space="0" w:color="auto"/>
                <w:right w:val="none" w:sz="0" w:space="0" w:color="auto"/>
              </w:divBdr>
              <w:divsChild>
                <w:div w:id="2020309484">
                  <w:marLeft w:val="240"/>
                  <w:marRight w:val="240"/>
                  <w:marTop w:val="100"/>
                  <w:marBottom w:val="240"/>
                  <w:divBdr>
                    <w:top w:val="none" w:sz="0" w:space="0" w:color="auto"/>
                    <w:left w:val="none" w:sz="0" w:space="0" w:color="auto"/>
                    <w:bottom w:val="none" w:sz="0" w:space="0" w:color="auto"/>
                    <w:right w:val="none" w:sz="0" w:space="0" w:color="auto"/>
                  </w:divBdr>
                  <w:divsChild>
                    <w:div w:id="2020309459">
                      <w:marLeft w:val="0"/>
                      <w:marRight w:val="0"/>
                      <w:marTop w:val="0"/>
                      <w:marBottom w:val="0"/>
                      <w:divBdr>
                        <w:top w:val="none" w:sz="0" w:space="0" w:color="auto"/>
                        <w:left w:val="none" w:sz="0" w:space="0" w:color="auto"/>
                        <w:bottom w:val="none" w:sz="0" w:space="0" w:color="auto"/>
                        <w:right w:val="none" w:sz="0" w:space="0" w:color="auto"/>
                      </w:divBdr>
                      <w:divsChild>
                        <w:div w:id="2020309458">
                          <w:marLeft w:val="0"/>
                          <w:marRight w:val="0"/>
                          <w:marTop w:val="0"/>
                          <w:marBottom w:val="0"/>
                          <w:divBdr>
                            <w:top w:val="none" w:sz="0" w:space="0" w:color="auto"/>
                            <w:left w:val="none" w:sz="0" w:space="0" w:color="auto"/>
                            <w:bottom w:val="none" w:sz="0" w:space="0" w:color="auto"/>
                            <w:right w:val="none" w:sz="0" w:space="0" w:color="auto"/>
                          </w:divBdr>
                          <w:divsChild>
                            <w:div w:id="2020309449">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475">
      <w:marLeft w:val="0"/>
      <w:marRight w:val="0"/>
      <w:marTop w:val="0"/>
      <w:marBottom w:val="0"/>
      <w:divBdr>
        <w:top w:val="none" w:sz="0" w:space="0" w:color="auto"/>
        <w:left w:val="none" w:sz="0" w:space="0" w:color="auto"/>
        <w:bottom w:val="none" w:sz="0" w:space="0" w:color="auto"/>
        <w:right w:val="none" w:sz="0" w:space="0" w:color="auto"/>
      </w:divBdr>
      <w:divsChild>
        <w:div w:id="2020309429">
          <w:marLeft w:val="0"/>
          <w:marRight w:val="0"/>
          <w:marTop w:val="0"/>
          <w:marBottom w:val="0"/>
          <w:divBdr>
            <w:top w:val="none" w:sz="0" w:space="0" w:color="auto"/>
            <w:left w:val="none" w:sz="0" w:space="0" w:color="auto"/>
            <w:bottom w:val="none" w:sz="0" w:space="0" w:color="auto"/>
            <w:right w:val="none" w:sz="0" w:space="0" w:color="auto"/>
          </w:divBdr>
          <w:divsChild>
            <w:div w:id="2020309477">
              <w:marLeft w:val="0"/>
              <w:marRight w:val="0"/>
              <w:marTop w:val="0"/>
              <w:marBottom w:val="0"/>
              <w:divBdr>
                <w:top w:val="none" w:sz="0" w:space="0" w:color="auto"/>
                <w:left w:val="none" w:sz="0" w:space="0" w:color="auto"/>
                <w:bottom w:val="none" w:sz="0" w:space="0" w:color="auto"/>
                <w:right w:val="none" w:sz="0" w:space="0" w:color="auto"/>
              </w:divBdr>
              <w:divsChild>
                <w:div w:id="2020309447">
                  <w:marLeft w:val="240"/>
                  <w:marRight w:val="240"/>
                  <w:marTop w:val="100"/>
                  <w:marBottom w:val="240"/>
                  <w:divBdr>
                    <w:top w:val="none" w:sz="0" w:space="0" w:color="auto"/>
                    <w:left w:val="none" w:sz="0" w:space="0" w:color="auto"/>
                    <w:bottom w:val="none" w:sz="0" w:space="0" w:color="auto"/>
                    <w:right w:val="none" w:sz="0" w:space="0" w:color="auto"/>
                  </w:divBdr>
                  <w:divsChild>
                    <w:div w:id="2020309454">
                      <w:marLeft w:val="0"/>
                      <w:marRight w:val="0"/>
                      <w:marTop w:val="0"/>
                      <w:marBottom w:val="0"/>
                      <w:divBdr>
                        <w:top w:val="none" w:sz="0" w:space="0" w:color="auto"/>
                        <w:left w:val="none" w:sz="0" w:space="0" w:color="auto"/>
                        <w:bottom w:val="none" w:sz="0" w:space="0" w:color="auto"/>
                        <w:right w:val="none" w:sz="0" w:space="0" w:color="auto"/>
                      </w:divBdr>
                      <w:divsChild>
                        <w:div w:id="2020309498">
                          <w:marLeft w:val="0"/>
                          <w:marRight w:val="0"/>
                          <w:marTop w:val="0"/>
                          <w:marBottom w:val="0"/>
                          <w:divBdr>
                            <w:top w:val="none" w:sz="0" w:space="0" w:color="auto"/>
                            <w:left w:val="none" w:sz="0" w:space="0" w:color="auto"/>
                            <w:bottom w:val="none" w:sz="0" w:space="0" w:color="auto"/>
                            <w:right w:val="none" w:sz="0" w:space="0" w:color="auto"/>
                          </w:divBdr>
                          <w:divsChild>
                            <w:div w:id="2020309451">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478">
      <w:marLeft w:val="0"/>
      <w:marRight w:val="0"/>
      <w:marTop w:val="0"/>
      <w:marBottom w:val="0"/>
      <w:divBdr>
        <w:top w:val="none" w:sz="0" w:space="0" w:color="auto"/>
        <w:left w:val="none" w:sz="0" w:space="0" w:color="auto"/>
        <w:bottom w:val="none" w:sz="0" w:space="0" w:color="auto"/>
        <w:right w:val="none" w:sz="0" w:space="0" w:color="auto"/>
      </w:divBdr>
      <w:divsChild>
        <w:div w:id="2020309480">
          <w:marLeft w:val="0"/>
          <w:marRight w:val="0"/>
          <w:marTop w:val="0"/>
          <w:marBottom w:val="0"/>
          <w:divBdr>
            <w:top w:val="none" w:sz="0" w:space="0" w:color="auto"/>
            <w:left w:val="none" w:sz="0" w:space="0" w:color="auto"/>
            <w:bottom w:val="none" w:sz="0" w:space="0" w:color="auto"/>
            <w:right w:val="none" w:sz="0" w:space="0" w:color="auto"/>
          </w:divBdr>
          <w:divsChild>
            <w:div w:id="2020309489">
              <w:marLeft w:val="0"/>
              <w:marRight w:val="0"/>
              <w:marTop w:val="0"/>
              <w:marBottom w:val="0"/>
              <w:divBdr>
                <w:top w:val="none" w:sz="0" w:space="0" w:color="auto"/>
                <w:left w:val="none" w:sz="0" w:space="0" w:color="auto"/>
                <w:bottom w:val="none" w:sz="0" w:space="0" w:color="auto"/>
                <w:right w:val="none" w:sz="0" w:space="0" w:color="auto"/>
              </w:divBdr>
              <w:divsChild>
                <w:div w:id="2020309432">
                  <w:marLeft w:val="240"/>
                  <w:marRight w:val="240"/>
                  <w:marTop w:val="100"/>
                  <w:marBottom w:val="240"/>
                  <w:divBdr>
                    <w:top w:val="none" w:sz="0" w:space="0" w:color="auto"/>
                    <w:left w:val="none" w:sz="0" w:space="0" w:color="auto"/>
                    <w:bottom w:val="none" w:sz="0" w:space="0" w:color="auto"/>
                    <w:right w:val="none" w:sz="0" w:space="0" w:color="auto"/>
                  </w:divBdr>
                  <w:divsChild>
                    <w:div w:id="2020309434">
                      <w:marLeft w:val="0"/>
                      <w:marRight w:val="0"/>
                      <w:marTop w:val="0"/>
                      <w:marBottom w:val="0"/>
                      <w:divBdr>
                        <w:top w:val="none" w:sz="0" w:space="0" w:color="auto"/>
                        <w:left w:val="none" w:sz="0" w:space="0" w:color="auto"/>
                        <w:bottom w:val="none" w:sz="0" w:space="0" w:color="auto"/>
                        <w:right w:val="none" w:sz="0" w:space="0" w:color="auto"/>
                      </w:divBdr>
                      <w:divsChild>
                        <w:div w:id="2020309461">
                          <w:marLeft w:val="0"/>
                          <w:marRight w:val="0"/>
                          <w:marTop w:val="0"/>
                          <w:marBottom w:val="0"/>
                          <w:divBdr>
                            <w:top w:val="none" w:sz="0" w:space="0" w:color="auto"/>
                            <w:left w:val="none" w:sz="0" w:space="0" w:color="auto"/>
                            <w:bottom w:val="none" w:sz="0" w:space="0" w:color="auto"/>
                            <w:right w:val="none" w:sz="0" w:space="0" w:color="auto"/>
                          </w:divBdr>
                          <w:divsChild>
                            <w:div w:id="2020309445">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479">
      <w:marLeft w:val="0"/>
      <w:marRight w:val="0"/>
      <w:marTop w:val="0"/>
      <w:marBottom w:val="0"/>
      <w:divBdr>
        <w:top w:val="none" w:sz="0" w:space="0" w:color="auto"/>
        <w:left w:val="none" w:sz="0" w:space="0" w:color="auto"/>
        <w:bottom w:val="none" w:sz="0" w:space="0" w:color="auto"/>
        <w:right w:val="none" w:sz="0" w:space="0" w:color="auto"/>
      </w:divBdr>
    </w:div>
    <w:div w:id="2020309483">
      <w:marLeft w:val="0"/>
      <w:marRight w:val="0"/>
      <w:marTop w:val="0"/>
      <w:marBottom w:val="0"/>
      <w:divBdr>
        <w:top w:val="none" w:sz="0" w:space="0" w:color="auto"/>
        <w:left w:val="none" w:sz="0" w:space="0" w:color="auto"/>
        <w:bottom w:val="none" w:sz="0" w:space="0" w:color="auto"/>
        <w:right w:val="none" w:sz="0" w:space="0" w:color="auto"/>
      </w:divBdr>
      <w:divsChild>
        <w:div w:id="2020309453">
          <w:marLeft w:val="0"/>
          <w:marRight w:val="0"/>
          <w:marTop w:val="0"/>
          <w:marBottom w:val="0"/>
          <w:divBdr>
            <w:top w:val="none" w:sz="0" w:space="0" w:color="auto"/>
            <w:left w:val="none" w:sz="0" w:space="0" w:color="auto"/>
            <w:bottom w:val="none" w:sz="0" w:space="0" w:color="auto"/>
            <w:right w:val="none" w:sz="0" w:space="0" w:color="auto"/>
          </w:divBdr>
          <w:divsChild>
            <w:div w:id="2020309442">
              <w:marLeft w:val="0"/>
              <w:marRight w:val="0"/>
              <w:marTop w:val="0"/>
              <w:marBottom w:val="0"/>
              <w:divBdr>
                <w:top w:val="none" w:sz="0" w:space="0" w:color="auto"/>
                <w:left w:val="none" w:sz="0" w:space="0" w:color="auto"/>
                <w:bottom w:val="none" w:sz="0" w:space="0" w:color="auto"/>
                <w:right w:val="none" w:sz="0" w:space="0" w:color="auto"/>
              </w:divBdr>
              <w:divsChild>
                <w:div w:id="2020309500">
                  <w:marLeft w:val="240"/>
                  <w:marRight w:val="240"/>
                  <w:marTop w:val="100"/>
                  <w:marBottom w:val="240"/>
                  <w:divBdr>
                    <w:top w:val="none" w:sz="0" w:space="0" w:color="auto"/>
                    <w:left w:val="none" w:sz="0" w:space="0" w:color="auto"/>
                    <w:bottom w:val="none" w:sz="0" w:space="0" w:color="auto"/>
                    <w:right w:val="none" w:sz="0" w:space="0" w:color="auto"/>
                  </w:divBdr>
                  <w:divsChild>
                    <w:div w:id="2020309430">
                      <w:marLeft w:val="0"/>
                      <w:marRight w:val="0"/>
                      <w:marTop w:val="0"/>
                      <w:marBottom w:val="0"/>
                      <w:divBdr>
                        <w:top w:val="none" w:sz="0" w:space="0" w:color="auto"/>
                        <w:left w:val="none" w:sz="0" w:space="0" w:color="auto"/>
                        <w:bottom w:val="none" w:sz="0" w:space="0" w:color="auto"/>
                        <w:right w:val="none" w:sz="0" w:space="0" w:color="auto"/>
                      </w:divBdr>
                      <w:divsChild>
                        <w:div w:id="2020309446">
                          <w:marLeft w:val="0"/>
                          <w:marRight w:val="0"/>
                          <w:marTop w:val="0"/>
                          <w:marBottom w:val="0"/>
                          <w:divBdr>
                            <w:top w:val="none" w:sz="0" w:space="0" w:color="auto"/>
                            <w:left w:val="none" w:sz="0" w:space="0" w:color="auto"/>
                            <w:bottom w:val="none" w:sz="0" w:space="0" w:color="auto"/>
                            <w:right w:val="none" w:sz="0" w:space="0" w:color="auto"/>
                          </w:divBdr>
                          <w:divsChild>
                            <w:div w:id="2020309440">
                              <w:marLeft w:val="0"/>
                              <w:marRight w:val="0"/>
                              <w:marTop w:val="0"/>
                              <w:marBottom w:val="40"/>
                              <w:divBdr>
                                <w:top w:val="single" w:sz="8" w:space="8" w:color="E5E5E5"/>
                                <w:left w:val="single" w:sz="8" w:space="0" w:color="E5E5E5"/>
                                <w:bottom w:val="single" w:sz="8" w:space="0" w:color="E5E5E5"/>
                                <w:right w:val="single" w:sz="8" w:space="0" w:color="E5E5E5"/>
                              </w:divBdr>
                              <w:divsChild>
                                <w:div w:id="20203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502">
      <w:marLeft w:val="0"/>
      <w:marRight w:val="0"/>
      <w:marTop w:val="0"/>
      <w:marBottom w:val="0"/>
      <w:divBdr>
        <w:top w:val="none" w:sz="0" w:space="0" w:color="auto"/>
        <w:left w:val="none" w:sz="0" w:space="0" w:color="auto"/>
        <w:bottom w:val="none" w:sz="0" w:space="0" w:color="auto"/>
        <w:right w:val="none" w:sz="0" w:space="0" w:color="auto"/>
      </w:divBdr>
      <w:divsChild>
        <w:div w:id="2020309470">
          <w:marLeft w:val="0"/>
          <w:marRight w:val="0"/>
          <w:marTop w:val="0"/>
          <w:marBottom w:val="0"/>
          <w:divBdr>
            <w:top w:val="none" w:sz="0" w:space="0" w:color="auto"/>
            <w:left w:val="none" w:sz="0" w:space="0" w:color="auto"/>
            <w:bottom w:val="none" w:sz="0" w:space="0" w:color="auto"/>
            <w:right w:val="none" w:sz="0" w:space="0" w:color="auto"/>
          </w:divBdr>
          <w:divsChild>
            <w:div w:id="2020309491">
              <w:marLeft w:val="0"/>
              <w:marRight w:val="0"/>
              <w:marTop w:val="0"/>
              <w:marBottom w:val="0"/>
              <w:divBdr>
                <w:top w:val="none" w:sz="0" w:space="0" w:color="auto"/>
                <w:left w:val="none" w:sz="0" w:space="0" w:color="auto"/>
                <w:bottom w:val="none" w:sz="0" w:space="0" w:color="auto"/>
                <w:right w:val="none" w:sz="0" w:space="0" w:color="auto"/>
              </w:divBdr>
              <w:divsChild>
                <w:div w:id="2020309431">
                  <w:marLeft w:val="240"/>
                  <w:marRight w:val="240"/>
                  <w:marTop w:val="100"/>
                  <w:marBottom w:val="240"/>
                  <w:divBdr>
                    <w:top w:val="none" w:sz="0" w:space="0" w:color="auto"/>
                    <w:left w:val="none" w:sz="0" w:space="0" w:color="auto"/>
                    <w:bottom w:val="none" w:sz="0" w:space="0" w:color="auto"/>
                    <w:right w:val="none" w:sz="0" w:space="0" w:color="auto"/>
                  </w:divBdr>
                  <w:divsChild>
                    <w:div w:id="2020309443">
                      <w:marLeft w:val="0"/>
                      <w:marRight w:val="0"/>
                      <w:marTop w:val="0"/>
                      <w:marBottom w:val="0"/>
                      <w:divBdr>
                        <w:top w:val="none" w:sz="0" w:space="0" w:color="auto"/>
                        <w:left w:val="none" w:sz="0" w:space="0" w:color="auto"/>
                        <w:bottom w:val="none" w:sz="0" w:space="0" w:color="auto"/>
                        <w:right w:val="none" w:sz="0" w:space="0" w:color="auto"/>
                      </w:divBdr>
                      <w:divsChild>
                        <w:div w:id="2020309482">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auto"/>
                                <w:left w:val="none" w:sz="0" w:space="0" w:color="auto"/>
                                <w:bottom w:val="none" w:sz="0" w:space="0" w:color="auto"/>
                                <w:right w:val="none" w:sz="0" w:space="0" w:color="auto"/>
                              </w:divBdr>
                              <w:divsChild>
                                <w:div w:id="20203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9504">
      <w:marLeft w:val="0"/>
      <w:marRight w:val="0"/>
      <w:marTop w:val="0"/>
      <w:marBottom w:val="0"/>
      <w:divBdr>
        <w:top w:val="none" w:sz="0" w:space="0" w:color="auto"/>
        <w:left w:val="none" w:sz="0" w:space="0" w:color="auto"/>
        <w:bottom w:val="none" w:sz="0" w:space="0" w:color="auto"/>
        <w:right w:val="none" w:sz="0" w:space="0" w:color="auto"/>
      </w:divBdr>
      <w:divsChild>
        <w:div w:id="2020309503">
          <w:marLeft w:val="0"/>
          <w:marRight w:val="0"/>
          <w:marTop w:val="0"/>
          <w:marBottom w:val="0"/>
          <w:divBdr>
            <w:top w:val="none" w:sz="0" w:space="0" w:color="auto"/>
            <w:left w:val="none" w:sz="0" w:space="0" w:color="auto"/>
            <w:bottom w:val="none" w:sz="0" w:space="0" w:color="auto"/>
            <w:right w:val="none" w:sz="0" w:space="0" w:color="auto"/>
          </w:divBdr>
        </w:div>
      </w:divsChild>
    </w:div>
    <w:div w:id="2020309505">
      <w:marLeft w:val="0"/>
      <w:marRight w:val="0"/>
      <w:marTop w:val="0"/>
      <w:marBottom w:val="0"/>
      <w:divBdr>
        <w:top w:val="none" w:sz="0" w:space="0" w:color="auto"/>
        <w:left w:val="none" w:sz="0" w:space="0" w:color="auto"/>
        <w:bottom w:val="none" w:sz="0" w:space="0" w:color="auto"/>
        <w:right w:val="none" w:sz="0" w:space="0" w:color="auto"/>
      </w:divBdr>
    </w:div>
    <w:div w:id="2020309506">
      <w:marLeft w:val="0"/>
      <w:marRight w:val="0"/>
      <w:marTop w:val="0"/>
      <w:marBottom w:val="0"/>
      <w:divBdr>
        <w:top w:val="none" w:sz="0" w:space="0" w:color="auto"/>
        <w:left w:val="none" w:sz="0" w:space="0" w:color="auto"/>
        <w:bottom w:val="none" w:sz="0" w:space="0" w:color="auto"/>
        <w:right w:val="none" w:sz="0" w:space="0" w:color="auto"/>
      </w:divBdr>
    </w:div>
    <w:div w:id="2020309507">
      <w:marLeft w:val="0"/>
      <w:marRight w:val="0"/>
      <w:marTop w:val="0"/>
      <w:marBottom w:val="0"/>
      <w:divBdr>
        <w:top w:val="none" w:sz="0" w:space="0" w:color="auto"/>
        <w:left w:val="none" w:sz="0" w:space="0" w:color="auto"/>
        <w:bottom w:val="none" w:sz="0" w:space="0" w:color="auto"/>
        <w:right w:val="none" w:sz="0" w:space="0" w:color="auto"/>
      </w:divBdr>
    </w:div>
    <w:div w:id="2020309509">
      <w:marLeft w:val="0"/>
      <w:marRight w:val="0"/>
      <w:marTop w:val="0"/>
      <w:marBottom w:val="0"/>
      <w:divBdr>
        <w:top w:val="none" w:sz="0" w:space="0" w:color="auto"/>
        <w:left w:val="none" w:sz="0" w:space="0" w:color="auto"/>
        <w:bottom w:val="none" w:sz="0" w:space="0" w:color="auto"/>
        <w:right w:val="none" w:sz="0" w:space="0" w:color="auto"/>
      </w:divBdr>
      <w:divsChild>
        <w:div w:id="2020309527">
          <w:marLeft w:val="0"/>
          <w:marRight w:val="0"/>
          <w:marTop w:val="0"/>
          <w:marBottom w:val="0"/>
          <w:divBdr>
            <w:top w:val="none" w:sz="0" w:space="0" w:color="auto"/>
            <w:left w:val="none" w:sz="0" w:space="0" w:color="auto"/>
            <w:bottom w:val="none" w:sz="0" w:space="0" w:color="auto"/>
            <w:right w:val="none" w:sz="0" w:space="0" w:color="auto"/>
          </w:divBdr>
          <w:divsChild>
            <w:div w:id="2020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9510">
      <w:marLeft w:val="0"/>
      <w:marRight w:val="0"/>
      <w:marTop w:val="0"/>
      <w:marBottom w:val="0"/>
      <w:divBdr>
        <w:top w:val="none" w:sz="0" w:space="0" w:color="auto"/>
        <w:left w:val="none" w:sz="0" w:space="0" w:color="auto"/>
        <w:bottom w:val="none" w:sz="0" w:space="0" w:color="auto"/>
        <w:right w:val="none" w:sz="0" w:space="0" w:color="auto"/>
      </w:divBdr>
      <w:divsChild>
        <w:div w:id="2020309512">
          <w:marLeft w:val="0"/>
          <w:marRight w:val="0"/>
          <w:marTop w:val="0"/>
          <w:marBottom w:val="0"/>
          <w:divBdr>
            <w:top w:val="none" w:sz="0" w:space="0" w:color="auto"/>
            <w:left w:val="none" w:sz="0" w:space="0" w:color="auto"/>
            <w:bottom w:val="none" w:sz="0" w:space="0" w:color="auto"/>
            <w:right w:val="none" w:sz="0" w:space="0" w:color="auto"/>
          </w:divBdr>
          <w:divsChild>
            <w:div w:id="20203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9516">
      <w:marLeft w:val="0"/>
      <w:marRight w:val="0"/>
      <w:marTop w:val="0"/>
      <w:marBottom w:val="0"/>
      <w:divBdr>
        <w:top w:val="none" w:sz="0" w:space="0" w:color="auto"/>
        <w:left w:val="none" w:sz="0" w:space="0" w:color="auto"/>
        <w:bottom w:val="none" w:sz="0" w:space="0" w:color="auto"/>
        <w:right w:val="none" w:sz="0" w:space="0" w:color="auto"/>
      </w:divBdr>
      <w:divsChild>
        <w:div w:id="2020309518">
          <w:marLeft w:val="0"/>
          <w:marRight w:val="0"/>
          <w:marTop w:val="0"/>
          <w:marBottom w:val="0"/>
          <w:divBdr>
            <w:top w:val="none" w:sz="0" w:space="0" w:color="auto"/>
            <w:left w:val="none" w:sz="0" w:space="0" w:color="auto"/>
            <w:bottom w:val="none" w:sz="0" w:space="0" w:color="auto"/>
            <w:right w:val="none" w:sz="0" w:space="0" w:color="auto"/>
          </w:divBdr>
        </w:div>
      </w:divsChild>
    </w:div>
    <w:div w:id="2020309517">
      <w:marLeft w:val="0"/>
      <w:marRight w:val="0"/>
      <w:marTop w:val="0"/>
      <w:marBottom w:val="0"/>
      <w:divBdr>
        <w:top w:val="none" w:sz="0" w:space="0" w:color="auto"/>
        <w:left w:val="none" w:sz="0" w:space="0" w:color="auto"/>
        <w:bottom w:val="none" w:sz="0" w:space="0" w:color="auto"/>
        <w:right w:val="none" w:sz="0" w:space="0" w:color="auto"/>
      </w:divBdr>
      <w:divsChild>
        <w:div w:id="2020309511">
          <w:marLeft w:val="0"/>
          <w:marRight w:val="0"/>
          <w:marTop w:val="0"/>
          <w:marBottom w:val="0"/>
          <w:divBdr>
            <w:top w:val="none" w:sz="0" w:space="0" w:color="auto"/>
            <w:left w:val="none" w:sz="0" w:space="0" w:color="auto"/>
            <w:bottom w:val="none" w:sz="0" w:space="0" w:color="auto"/>
            <w:right w:val="none" w:sz="0" w:space="0" w:color="auto"/>
          </w:divBdr>
          <w:divsChild>
            <w:div w:id="20203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9520">
      <w:marLeft w:val="0"/>
      <w:marRight w:val="0"/>
      <w:marTop w:val="0"/>
      <w:marBottom w:val="0"/>
      <w:divBdr>
        <w:top w:val="none" w:sz="0" w:space="0" w:color="auto"/>
        <w:left w:val="none" w:sz="0" w:space="0" w:color="auto"/>
        <w:bottom w:val="none" w:sz="0" w:space="0" w:color="auto"/>
        <w:right w:val="none" w:sz="0" w:space="0" w:color="auto"/>
      </w:divBdr>
      <w:divsChild>
        <w:div w:id="2020309525">
          <w:marLeft w:val="0"/>
          <w:marRight w:val="0"/>
          <w:marTop w:val="0"/>
          <w:marBottom w:val="0"/>
          <w:divBdr>
            <w:top w:val="none" w:sz="0" w:space="0" w:color="auto"/>
            <w:left w:val="none" w:sz="0" w:space="0" w:color="auto"/>
            <w:bottom w:val="none" w:sz="0" w:space="0" w:color="auto"/>
            <w:right w:val="none" w:sz="0" w:space="0" w:color="auto"/>
          </w:divBdr>
          <w:divsChild>
            <w:div w:id="2020309514">
              <w:marLeft w:val="0"/>
              <w:marRight w:val="0"/>
              <w:marTop w:val="0"/>
              <w:marBottom w:val="0"/>
              <w:divBdr>
                <w:top w:val="none" w:sz="0" w:space="0" w:color="auto"/>
                <w:left w:val="none" w:sz="0" w:space="0" w:color="auto"/>
                <w:bottom w:val="none" w:sz="0" w:space="0" w:color="auto"/>
                <w:right w:val="none" w:sz="0" w:space="0" w:color="auto"/>
              </w:divBdr>
              <w:divsChild>
                <w:div w:id="2020309523">
                  <w:marLeft w:val="0"/>
                  <w:marRight w:val="0"/>
                  <w:marTop w:val="0"/>
                  <w:marBottom w:val="0"/>
                  <w:divBdr>
                    <w:top w:val="none" w:sz="0" w:space="0" w:color="auto"/>
                    <w:left w:val="none" w:sz="0" w:space="0" w:color="auto"/>
                    <w:bottom w:val="none" w:sz="0" w:space="0" w:color="auto"/>
                    <w:right w:val="none" w:sz="0" w:space="0" w:color="auto"/>
                  </w:divBdr>
                  <w:divsChild>
                    <w:div w:id="20203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9526">
      <w:marLeft w:val="0"/>
      <w:marRight w:val="0"/>
      <w:marTop w:val="0"/>
      <w:marBottom w:val="0"/>
      <w:divBdr>
        <w:top w:val="none" w:sz="0" w:space="0" w:color="auto"/>
        <w:left w:val="none" w:sz="0" w:space="0" w:color="auto"/>
        <w:bottom w:val="none" w:sz="0" w:space="0" w:color="auto"/>
        <w:right w:val="none" w:sz="0" w:space="0" w:color="auto"/>
      </w:divBdr>
      <w:divsChild>
        <w:div w:id="2020309522">
          <w:marLeft w:val="0"/>
          <w:marRight w:val="0"/>
          <w:marTop w:val="0"/>
          <w:marBottom w:val="0"/>
          <w:divBdr>
            <w:top w:val="none" w:sz="0" w:space="0" w:color="auto"/>
            <w:left w:val="none" w:sz="0" w:space="0" w:color="auto"/>
            <w:bottom w:val="none" w:sz="0" w:space="0" w:color="auto"/>
            <w:right w:val="none" w:sz="0" w:space="0" w:color="auto"/>
          </w:divBdr>
          <w:divsChild>
            <w:div w:id="20203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9528">
      <w:marLeft w:val="0"/>
      <w:marRight w:val="0"/>
      <w:marTop w:val="0"/>
      <w:marBottom w:val="0"/>
      <w:divBdr>
        <w:top w:val="none" w:sz="0" w:space="0" w:color="auto"/>
        <w:left w:val="none" w:sz="0" w:space="0" w:color="auto"/>
        <w:bottom w:val="none" w:sz="0" w:space="0" w:color="auto"/>
        <w:right w:val="none" w:sz="0" w:space="0" w:color="auto"/>
      </w:divBdr>
      <w:divsChild>
        <w:div w:id="2020309524">
          <w:marLeft w:val="0"/>
          <w:marRight w:val="0"/>
          <w:marTop w:val="0"/>
          <w:marBottom w:val="0"/>
          <w:divBdr>
            <w:top w:val="none" w:sz="0" w:space="0" w:color="auto"/>
            <w:left w:val="none" w:sz="0" w:space="0" w:color="auto"/>
            <w:bottom w:val="none" w:sz="0" w:space="0" w:color="auto"/>
            <w:right w:val="none" w:sz="0" w:space="0" w:color="auto"/>
          </w:divBdr>
        </w:div>
      </w:divsChild>
    </w:div>
    <w:div w:id="2020309529">
      <w:marLeft w:val="0"/>
      <w:marRight w:val="0"/>
      <w:marTop w:val="0"/>
      <w:marBottom w:val="0"/>
      <w:divBdr>
        <w:top w:val="none" w:sz="0" w:space="0" w:color="auto"/>
        <w:left w:val="none" w:sz="0" w:space="0" w:color="auto"/>
        <w:bottom w:val="none" w:sz="0" w:space="0" w:color="auto"/>
        <w:right w:val="none" w:sz="0" w:space="0" w:color="auto"/>
      </w:divBdr>
    </w:div>
    <w:div w:id="2020309530">
      <w:marLeft w:val="0"/>
      <w:marRight w:val="0"/>
      <w:marTop w:val="0"/>
      <w:marBottom w:val="0"/>
      <w:divBdr>
        <w:top w:val="none" w:sz="0" w:space="0" w:color="auto"/>
        <w:left w:val="none" w:sz="0" w:space="0" w:color="auto"/>
        <w:bottom w:val="none" w:sz="0" w:space="0" w:color="auto"/>
        <w:right w:val="none" w:sz="0" w:space="0" w:color="auto"/>
      </w:divBdr>
    </w:div>
    <w:div w:id="2020309531">
      <w:marLeft w:val="0"/>
      <w:marRight w:val="0"/>
      <w:marTop w:val="0"/>
      <w:marBottom w:val="0"/>
      <w:divBdr>
        <w:top w:val="none" w:sz="0" w:space="0" w:color="auto"/>
        <w:left w:val="none" w:sz="0" w:space="0" w:color="auto"/>
        <w:bottom w:val="none" w:sz="0" w:space="0" w:color="auto"/>
        <w:right w:val="none" w:sz="0" w:space="0" w:color="auto"/>
      </w:divBdr>
    </w:div>
    <w:div w:id="2020309532">
      <w:marLeft w:val="0"/>
      <w:marRight w:val="0"/>
      <w:marTop w:val="0"/>
      <w:marBottom w:val="0"/>
      <w:divBdr>
        <w:top w:val="none" w:sz="0" w:space="0" w:color="auto"/>
        <w:left w:val="none" w:sz="0" w:space="0" w:color="auto"/>
        <w:bottom w:val="none" w:sz="0" w:space="0" w:color="auto"/>
        <w:right w:val="none" w:sz="0" w:space="0" w:color="auto"/>
      </w:divBdr>
    </w:div>
    <w:div w:id="2020309533">
      <w:marLeft w:val="0"/>
      <w:marRight w:val="0"/>
      <w:marTop w:val="0"/>
      <w:marBottom w:val="0"/>
      <w:divBdr>
        <w:top w:val="none" w:sz="0" w:space="0" w:color="auto"/>
        <w:left w:val="none" w:sz="0" w:space="0" w:color="auto"/>
        <w:bottom w:val="none" w:sz="0" w:space="0" w:color="auto"/>
        <w:right w:val="none" w:sz="0" w:space="0" w:color="auto"/>
      </w:divBdr>
    </w:div>
    <w:div w:id="2020309534">
      <w:marLeft w:val="0"/>
      <w:marRight w:val="0"/>
      <w:marTop w:val="0"/>
      <w:marBottom w:val="0"/>
      <w:divBdr>
        <w:top w:val="none" w:sz="0" w:space="0" w:color="auto"/>
        <w:left w:val="none" w:sz="0" w:space="0" w:color="auto"/>
        <w:bottom w:val="none" w:sz="0" w:space="0" w:color="auto"/>
        <w:right w:val="none" w:sz="0" w:space="0" w:color="auto"/>
      </w:divBdr>
    </w:div>
    <w:div w:id="2020309535">
      <w:marLeft w:val="0"/>
      <w:marRight w:val="0"/>
      <w:marTop w:val="0"/>
      <w:marBottom w:val="0"/>
      <w:divBdr>
        <w:top w:val="none" w:sz="0" w:space="0" w:color="auto"/>
        <w:left w:val="none" w:sz="0" w:space="0" w:color="auto"/>
        <w:bottom w:val="none" w:sz="0" w:space="0" w:color="auto"/>
        <w:right w:val="none" w:sz="0" w:space="0" w:color="auto"/>
      </w:divBdr>
    </w:div>
    <w:div w:id="2020309536">
      <w:marLeft w:val="0"/>
      <w:marRight w:val="0"/>
      <w:marTop w:val="0"/>
      <w:marBottom w:val="0"/>
      <w:divBdr>
        <w:top w:val="none" w:sz="0" w:space="0" w:color="auto"/>
        <w:left w:val="none" w:sz="0" w:space="0" w:color="auto"/>
        <w:bottom w:val="none" w:sz="0" w:space="0" w:color="auto"/>
        <w:right w:val="none" w:sz="0" w:space="0" w:color="auto"/>
      </w:divBdr>
    </w:div>
    <w:div w:id="2020309537">
      <w:marLeft w:val="0"/>
      <w:marRight w:val="0"/>
      <w:marTop w:val="0"/>
      <w:marBottom w:val="0"/>
      <w:divBdr>
        <w:top w:val="none" w:sz="0" w:space="0" w:color="auto"/>
        <w:left w:val="none" w:sz="0" w:space="0" w:color="auto"/>
        <w:bottom w:val="none" w:sz="0" w:space="0" w:color="auto"/>
        <w:right w:val="none" w:sz="0" w:space="0" w:color="auto"/>
      </w:divBdr>
    </w:div>
    <w:div w:id="2020309538">
      <w:marLeft w:val="0"/>
      <w:marRight w:val="0"/>
      <w:marTop w:val="0"/>
      <w:marBottom w:val="0"/>
      <w:divBdr>
        <w:top w:val="none" w:sz="0" w:space="0" w:color="auto"/>
        <w:left w:val="none" w:sz="0" w:space="0" w:color="auto"/>
        <w:bottom w:val="none" w:sz="0" w:space="0" w:color="auto"/>
        <w:right w:val="none" w:sz="0" w:space="0" w:color="auto"/>
      </w:divBdr>
    </w:div>
    <w:div w:id="2020309539">
      <w:marLeft w:val="0"/>
      <w:marRight w:val="0"/>
      <w:marTop w:val="0"/>
      <w:marBottom w:val="0"/>
      <w:divBdr>
        <w:top w:val="none" w:sz="0" w:space="0" w:color="auto"/>
        <w:left w:val="none" w:sz="0" w:space="0" w:color="auto"/>
        <w:bottom w:val="none" w:sz="0" w:space="0" w:color="auto"/>
        <w:right w:val="none" w:sz="0" w:space="0" w:color="auto"/>
      </w:divBdr>
    </w:div>
    <w:div w:id="2020309540">
      <w:marLeft w:val="0"/>
      <w:marRight w:val="0"/>
      <w:marTop w:val="0"/>
      <w:marBottom w:val="0"/>
      <w:divBdr>
        <w:top w:val="none" w:sz="0" w:space="0" w:color="auto"/>
        <w:left w:val="none" w:sz="0" w:space="0" w:color="auto"/>
        <w:bottom w:val="none" w:sz="0" w:space="0" w:color="auto"/>
        <w:right w:val="none" w:sz="0" w:space="0" w:color="auto"/>
      </w:divBdr>
    </w:div>
    <w:div w:id="2020309541">
      <w:marLeft w:val="0"/>
      <w:marRight w:val="0"/>
      <w:marTop w:val="0"/>
      <w:marBottom w:val="0"/>
      <w:divBdr>
        <w:top w:val="none" w:sz="0" w:space="0" w:color="auto"/>
        <w:left w:val="none" w:sz="0" w:space="0" w:color="auto"/>
        <w:bottom w:val="none" w:sz="0" w:space="0" w:color="auto"/>
        <w:right w:val="none" w:sz="0" w:space="0" w:color="auto"/>
      </w:divBdr>
    </w:div>
    <w:div w:id="2020309542">
      <w:marLeft w:val="0"/>
      <w:marRight w:val="0"/>
      <w:marTop w:val="0"/>
      <w:marBottom w:val="0"/>
      <w:divBdr>
        <w:top w:val="none" w:sz="0" w:space="0" w:color="auto"/>
        <w:left w:val="none" w:sz="0" w:space="0" w:color="auto"/>
        <w:bottom w:val="none" w:sz="0" w:space="0" w:color="auto"/>
        <w:right w:val="none" w:sz="0" w:space="0" w:color="auto"/>
      </w:divBdr>
    </w:div>
    <w:div w:id="2020309543">
      <w:marLeft w:val="0"/>
      <w:marRight w:val="0"/>
      <w:marTop w:val="0"/>
      <w:marBottom w:val="0"/>
      <w:divBdr>
        <w:top w:val="none" w:sz="0" w:space="0" w:color="auto"/>
        <w:left w:val="none" w:sz="0" w:space="0" w:color="auto"/>
        <w:bottom w:val="none" w:sz="0" w:space="0" w:color="auto"/>
        <w:right w:val="none" w:sz="0" w:space="0" w:color="auto"/>
      </w:divBdr>
    </w:div>
    <w:div w:id="2020309544">
      <w:marLeft w:val="0"/>
      <w:marRight w:val="0"/>
      <w:marTop w:val="0"/>
      <w:marBottom w:val="0"/>
      <w:divBdr>
        <w:top w:val="none" w:sz="0" w:space="0" w:color="auto"/>
        <w:left w:val="none" w:sz="0" w:space="0" w:color="auto"/>
        <w:bottom w:val="none" w:sz="0" w:space="0" w:color="auto"/>
        <w:right w:val="none" w:sz="0" w:space="0" w:color="auto"/>
      </w:divBdr>
    </w:div>
    <w:div w:id="2020309545">
      <w:marLeft w:val="0"/>
      <w:marRight w:val="0"/>
      <w:marTop w:val="0"/>
      <w:marBottom w:val="0"/>
      <w:divBdr>
        <w:top w:val="none" w:sz="0" w:space="0" w:color="auto"/>
        <w:left w:val="none" w:sz="0" w:space="0" w:color="auto"/>
        <w:bottom w:val="none" w:sz="0" w:space="0" w:color="auto"/>
        <w:right w:val="none" w:sz="0" w:space="0" w:color="auto"/>
      </w:divBdr>
    </w:div>
    <w:div w:id="2020309546">
      <w:marLeft w:val="0"/>
      <w:marRight w:val="0"/>
      <w:marTop w:val="0"/>
      <w:marBottom w:val="0"/>
      <w:divBdr>
        <w:top w:val="none" w:sz="0" w:space="0" w:color="auto"/>
        <w:left w:val="none" w:sz="0" w:space="0" w:color="auto"/>
        <w:bottom w:val="none" w:sz="0" w:space="0" w:color="auto"/>
        <w:right w:val="none" w:sz="0" w:space="0" w:color="auto"/>
      </w:divBdr>
    </w:div>
    <w:div w:id="2020309547">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
    <w:div w:id="2020309549">
      <w:marLeft w:val="0"/>
      <w:marRight w:val="0"/>
      <w:marTop w:val="0"/>
      <w:marBottom w:val="0"/>
      <w:divBdr>
        <w:top w:val="none" w:sz="0" w:space="0" w:color="auto"/>
        <w:left w:val="none" w:sz="0" w:space="0" w:color="auto"/>
        <w:bottom w:val="none" w:sz="0" w:space="0" w:color="auto"/>
        <w:right w:val="none" w:sz="0" w:space="0" w:color="auto"/>
      </w:divBdr>
    </w:div>
    <w:div w:id="2020309550">
      <w:marLeft w:val="0"/>
      <w:marRight w:val="0"/>
      <w:marTop w:val="0"/>
      <w:marBottom w:val="0"/>
      <w:divBdr>
        <w:top w:val="none" w:sz="0" w:space="0" w:color="auto"/>
        <w:left w:val="none" w:sz="0" w:space="0" w:color="auto"/>
        <w:bottom w:val="none" w:sz="0" w:space="0" w:color="auto"/>
        <w:right w:val="none" w:sz="0" w:space="0" w:color="auto"/>
      </w:divBdr>
    </w:div>
    <w:div w:id="2020309551">
      <w:marLeft w:val="0"/>
      <w:marRight w:val="0"/>
      <w:marTop w:val="0"/>
      <w:marBottom w:val="0"/>
      <w:divBdr>
        <w:top w:val="none" w:sz="0" w:space="0" w:color="auto"/>
        <w:left w:val="none" w:sz="0" w:space="0" w:color="auto"/>
        <w:bottom w:val="none" w:sz="0" w:space="0" w:color="auto"/>
        <w:right w:val="none" w:sz="0" w:space="0" w:color="auto"/>
      </w:divBdr>
    </w:div>
    <w:div w:id="2020309552">
      <w:marLeft w:val="0"/>
      <w:marRight w:val="0"/>
      <w:marTop w:val="0"/>
      <w:marBottom w:val="0"/>
      <w:divBdr>
        <w:top w:val="none" w:sz="0" w:space="0" w:color="auto"/>
        <w:left w:val="none" w:sz="0" w:space="0" w:color="auto"/>
        <w:bottom w:val="none" w:sz="0" w:space="0" w:color="auto"/>
        <w:right w:val="none" w:sz="0" w:space="0" w:color="auto"/>
      </w:divBdr>
    </w:div>
    <w:div w:id="2020309553">
      <w:marLeft w:val="0"/>
      <w:marRight w:val="0"/>
      <w:marTop w:val="0"/>
      <w:marBottom w:val="0"/>
      <w:divBdr>
        <w:top w:val="none" w:sz="0" w:space="0" w:color="auto"/>
        <w:left w:val="none" w:sz="0" w:space="0" w:color="auto"/>
        <w:bottom w:val="none" w:sz="0" w:space="0" w:color="auto"/>
        <w:right w:val="none" w:sz="0" w:space="0" w:color="auto"/>
      </w:divBdr>
    </w:div>
    <w:div w:id="2020309554">
      <w:marLeft w:val="0"/>
      <w:marRight w:val="0"/>
      <w:marTop w:val="0"/>
      <w:marBottom w:val="0"/>
      <w:divBdr>
        <w:top w:val="none" w:sz="0" w:space="0" w:color="auto"/>
        <w:left w:val="none" w:sz="0" w:space="0" w:color="auto"/>
        <w:bottom w:val="none" w:sz="0" w:space="0" w:color="auto"/>
        <w:right w:val="none" w:sz="0" w:space="0" w:color="auto"/>
      </w:divBdr>
    </w:div>
    <w:div w:id="2020309555">
      <w:marLeft w:val="0"/>
      <w:marRight w:val="0"/>
      <w:marTop w:val="0"/>
      <w:marBottom w:val="0"/>
      <w:divBdr>
        <w:top w:val="none" w:sz="0" w:space="0" w:color="auto"/>
        <w:left w:val="none" w:sz="0" w:space="0" w:color="auto"/>
        <w:bottom w:val="none" w:sz="0" w:space="0" w:color="auto"/>
        <w:right w:val="none" w:sz="0" w:space="0" w:color="auto"/>
      </w:divBdr>
    </w:div>
    <w:div w:id="2020309556">
      <w:marLeft w:val="0"/>
      <w:marRight w:val="0"/>
      <w:marTop w:val="0"/>
      <w:marBottom w:val="0"/>
      <w:divBdr>
        <w:top w:val="none" w:sz="0" w:space="0" w:color="auto"/>
        <w:left w:val="none" w:sz="0" w:space="0" w:color="auto"/>
        <w:bottom w:val="none" w:sz="0" w:space="0" w:color="auto"/>
        <w:right w:val="none" w:sz="0" w:space="0" w:color="auto"/>
      </w:divBdr>
    </w:div>
    <w:div w:id="2020309557">
      <w:marLeft w:val="0"/>
      <w:marRight w:val="0"/>
      <w:marTop w:val="0"/>
      <w:marBottom w:val="0"/>
      <w:divBdr>
        <w:top w:val="none" w:sz="0" w:space="0" w:color="auto"/>
        <w:left w:val="none" w:sz="0" w:space="0" w:color="auto"/>
        <w:bottom w:val="none" w:sz="0" w:space="0" w:color="auto"/>
        <w:right w:val="none" w:sz="0" w:space="0" w:color="auto"/>
      </w:divBdr>
    </w:div>
    <w:div w:id="2020309558">
      <w:marLeft w:val="0"/>
      <w:marRight w:val="0"/>
      <w:marTop w:val="0"/>
      <w:marBottom w:val="0"/>
      <w:divBdr>
        <w:top w:val="none" w:sz="0" w:space="0" w:color="auto"/>
        <w:left w:val="none" w:sz="0" w:space="0" w:color="auto"/>
        <w:bottom w:val="none" w:sz="0" w:space="0" w:color="auto"/>
        <w:right w:val="none" w:sz="0" w:space="0" w:color="auto"/>
      </w:divBdr>
    </w:div>
    <w:div w:id="2020309559">
      <w:marLeft w:val="0"/>
      <w:marRight w:val="0"/>
      <w:marTop w:val="0"/>
      <w:marBottom w:val="0"/>
      <w:divBdr>
        <w:top w:val="none" w:sz="0" w:space="0" w:color="auto"/>
        <w:left w:val="none" w:sz="0" w:space="0" w:color="auto"/>
        <w:bottom w:val="none" w:sz="0" w:space="0" w:color="auto"/>
        <w:right w:val="none" w:sz="0" w:space="0" w:color="auto"/>
      </w:divBdr>
    </w:div>
    <w:div w:id="2020309560">
      <w:marLeft w:val="0"/>
      <w:marRight w:val="0"/>
      <w:marTop w:val="0"/>
      <w:marBottom w:val="0"/>
      <w:divBdr>
        <w:top w:val="none" w:sz="0" w:space="0" w:color="auto"/>
        <w:left w:val="none" w:sz="0" w:space="0" w:color="auto"/>
        <w:bottom w:val="none" w:sz="0" w:space="0" w:color="auto"/>
        <w:right w:val="none" w:sz="0" w:space="0" w:color="auto"/>
      </w:divBdr>
    </w:div>
    <w:div w:id="2020309561">
      <w:marLeft w:val="0"/>
      <w:marRight w:val="0"/>
      <w:marTop w:val="0"/>
      <w:marBottom w:val="0"/>
      <w:divBdr>
        <w:top w:val="none" w:sz="0" w:space="0" w:color="auto"/>
        <w:left w:val="none" w:sz="0" w:space="0" w:color="auto"/>
        <w:bottom w:val="none" w:sz="0" w:space="0" w:color="auto"/>
        <w:right w:val="none" w:sz="0" w:space="0" w:color="auto"/>
      </w:divBdr>
    </w:div>
    <w:div w:id="2020309562">
      <w:marLeft w:val="0"/>
      <w:marRight w:val="0"/>
      <w:marTop w:val="0"/>
      <w:marBottom w:val="0"/>
      <w:divBdr>
        <w:top w:val="none" w:sz="0" w:space="0" w:color="auto"/>
        <w:left w:val="none" w:sz="0" w:space="0" w:color="auto"/>
        <w:bottom w:val="none" w:sz="0" w:space="0" w:color="auto"/>
        <w:right w:val="none" w:sz="0" w:space="0" w:color="auto"/>
      </w:divBdr>
    </w:div>
    <w:div w:id="2020309563">
      <w:marLeft w:val="0"/>
      <w:marRight w:val="0"/>
      <w:marTop w:val="0"/>
      <w:marBottom w:val="0"/>
      <w:divBdr>
        <w:top w:val="none" w:sz="0" w:space="0" w:color="auto"/>
        <w:left w:val="none" w:sz="0" w:space="0" w:color="auto"/>
        <w:bottom w:val="none" w:sz="0" w:space="0" w:color="auto"/>
        <w:right w:val="none" w:sz="0" w:space="0" w:color="auto"/>
      </w:divBdr>
    </w:div>
    <w:div w:id="2020309564">
      <w:marLeft w:val="0"/>
      <w:marRight w:val="0"/>
      <w:marTop w:val="0"/>
      <w:marBottom w:val="0"/>
      <w:divBdr>
        <w:top w:val="none" w:sz="0" w:space="0" w:color="auto"/>
        <w:left w:val="none" w:sz="0" w:space="0" w:color="auto"/>
        <w:bottom w:val="none" w:sz="0" w:space="0" w:color="auto"/>
        <w:right w:val="none" w:sz="0" w:space="0" w:color="auto"/>
      </w:divBdr>
    </w:div>
    <w:div w:id="2020309565">
      <w:marLeft w:val="0"/>
      <w:marRight w:val="0"/>
      <w:marTop w:val="0"/>
      <w:marBottom w:val="0"/>
      <w:divBdr>
        <w:top w:val="none" w:sz="0" w:space="0" w:color="auto"/>
        <w:left w:val="none" w:sz="0" w:space="0" w:color="auto"/>
        <w:bottom w:val="none" w:sz="0" w:space="0" w:color="auto"/>
        <w:right w:val="none" w:sz="0" w:space="0" w:color="auto"/>
      </w:divBdr>
    </w:div>
    <w:div w:id="2020309566">
      <w:marLeft w:val="0"/>
      <w:marRight w:val="0"/>
      <w:marTop w:val="0"/>
      <w:marBottom w:val="0"/>
      <w:divBdr>
        <w:top w:val="none" w:sz="0" w:space="0" w:color="auto"/>
        <w:left w:val="none" w:sz="0" w:space="0" w:color="auto"/>
        <w:bottom w:val="none" w:sz="0" w:space="0" w:color="auto"/>
        <w:right w:val="none" w:sz="0" w:space="0" w:color="auto"/>
      </w:divBdr>
    </w:div>
    <w:div w:id="2020309567">
      <w:marLeft w:val="0"/>
      <w:marRight w:val="0"/>
      <w:marTop w:val="0"/>
      <w:marBottom w:val="0"/>
      <w:divBdr>
        <w:top w:val="none" w:sz="0" w:space="0" w:color="auto"/>
        <w:left w:val="none" w:sz="0" w:space="0" w:color="auto"/>
        <w:bottom w:val="none" w:sz="0" w:space="0" w:color="auto"/>
        <w:right w:val="none" w:sz="0" w:space="0" w:color="auto"/>
      </w:divBdr>
    </w:div>
    <w:div w:id="2020309568">
      <w:marLeft w:val="0"/>
      <w:marRight w:val="0"/>
      <w:marTop w:val="0"/>
      <w:marBottom w:val="0"/>
      <w:divBdr>
        <w:top w:val="none" w:sz="0" w:space="0" w:color="auto"/>
        <w:left w:val="none" w:sz="0" w:space="0" w:color="auto"/>
        <w:bottom w:val="none" w:sz="0" w:space="0" w:color="auto"/>
        <w:right w:val="none" w:sz="0" w:space="0" w:color="auto"/>
      </w:divBdr>
    </w:div>
    <w:div w:id="2020309569">
      <w:marLeft w:val="0"/>
      <w:marRight w:val="0"/>
      <w:marTop w:val="0"/>
      <w:marBottom w:val="0"/>
      <w:divBdr>
        <w:top w:val="none" w:sz="0" w:space="0" w:color="auto"/>
        <w:left w:val="none" w:sz="0" w:space="0" w:color="auto"/>
        <w:bottom w:val="none" w:sz="0" w:space="0" w:color="auto"/>
        <w:right w:val="none" w:sz="0" w:space="0" w:color="auto"/>
      </w:divBdr>
    </w:div>
    <w:div w:id="2020309570">
      <w:marLeft w:val="0"/>
      <w:marRight w:val="0"/>
      <w:marTop w:val="0"/>
      <w:marBottom w:val="0"/>
      <w:divBdr>
        <w:top w:val="none" w:sz="0" w:space="0" w:color="auto"/>
        <w:left w:val="none" w:sz="0" w:space="0" w:color="auto"/>
        <w:bottom w:val="none" w:sz="0" w:space="0" w:color="auto"/>
        <w:right w:val="none" w:sz="0" w:space="0" w:color="auto"/>
      </w:divBdr>
    </w:div>
    <w:div w:id="2020309571">
      <w:marLeft w:val="0"/>
      <w:marRight w:val="0"/>
      <w:marTop w:val="0"/>
      <w:marBottom w:val="0"/>
      <w:divBdr>
        <w:top w:val="none" w:sz="0" w:space="0" w:color="auto"/>
        <w:left w:val="none" w:sz="0" w:space="0" w:color="auto"/>
        <w:bottom w:val="none" w:sz="0" w:space="0" w:color="auto"/>
        <w:right w:val="none" w:sz="0" w:space="0" w:color="auto"/>
      </w:divBdr>
    </w:div>
    <w:div w:id="2020309572">
      <w:marLeft w:val="0"/>
      <w:marRight w:val="0"/>
      <w:marTop w:val="0"/>
      <w:marBottom w:val="0"/>
      <w:divBdr>
        <w:top w:val="none" w:sz="0" w:space="0" w:color="auto"/>
        <w:left w:val="none" w:sz="0" w:space="0" w:color="auto"/>
        <w:bottom w:val="none" w:sz="0" w:space="0" w:color="auto"/>
        <w:right w:val="none" w:sz="0" w:space="0" w:color="auto"/>
      </w:divBdr>
    </w:div>
    <w:div w:id="2020309573">
      <w:marLeft w:val="0"/>
      <w:marRight w:val="0"/>
      <w:marTop w:val="0"/>
      <w:marBottom w:val="0"/>
      <w:divBdr>
        <w:top w:val="none" w:sz="0" w:space="0" w:color="auto"/>
        <w:left w:val="none" w:sz="0" w:space="0" w:color="auto"/>
        <w:bottom w:val="none" w:sz="0" w:space="0" w:color="auto"/>
        <w:right w:val="none" w:sz="0" w:space="0" w:color="auto"/>
      </w:divBdr>
    </w:div>
    <w:div w:id="2020309574">
      <w:marLeft w:val="0"/>
      <w:marRight w:val="0"/>
      <w:marTop w:val="0"/>
      <w:marBottom w:val="0"/>
      <w:divBdr>
        <w:top w:val="none" w:sz="0" w:space="0" w:color="auto"/>
        <w:left w:val="none" w:sz="0" w:space="0" w:color="auto"/>
        <w:bottom w:val="none" w:sz="0" w:space="0" w:color="auto"/>
        <w:right w:val="none" w:sz="0" w:space="0" w:color="auto"/>
      </w:divBdr>
    </w:div>
    <w:div w:id="2020309575">
      <w:marLeft w:val="0"/>
      <w:marRight w:val="0"/>
      <w:marTop w:val="0"/>
      <w:marBottom w:val="0"/>
      <w:divBdr>
        <w:top w:val="none" w:sz="0" w:space="0" w:color="auto"/>
        <w:left w:val="none" w:sz="0" w:space="0" w:color="auto"/>
        <w:bottom w:val="none" w:sz="0" w:space="0" w:color="auto"/>
        <w:right w:val="none" w:sz="0" w:space="0" w:color="auto"/>
      </w:divBdr>
    </w:div>
    <w:div w:id="2020309576">
      <w:marLeft w:val="0"/>
      <w:marRight w:val="0"/>
      <w:marTop w:val="0"/>
      <w:marBottom w:val="0"/>
      <w:divBdr>
        <w:top w:val="none" w:sz="0" w:space="0" w:color="auto"/>
        <w:left w:val="none" w:sz="0" w:space="0" w:color="auto"/>
        <w:bottom w:val="none" w:sz="0" w:space="0" w:color="auto"/>
        <w:right w:val="none" w:sz="0" w:space="0" w:color="auto"/>
      </w:divBdr>
    </w:div>
    <w:div w:id="2020309577">
      <w:marLeft w:val="0"/>
      <w:marRight w:val="0"/>
      <w:marTop w:val="0"/>
      <w:marBottom w:val="0"/>
      <w:divBdr>
        <w:top w:val="none" w:sz="0" w:space="0" w:color="auto"/>
        <w:left w:val="none" w:sz="0" w:space="0" w:color="auto"/>
        <w:bottom w:val="none" w:sz="0" w:space="0" w:color="auto"/>
        <w:right w:val="none" w:sz="0" w:space="0" w:color="auto"/>
      </w:divBdr>
    </w:div>
    <w:div w:id="2020309578">
      <w:marLeft w:val="0"/>
      <w:marRight w:val="0"/>
      <w:marTop w:val="0"/>
      <w:marBottom w:val="0"/>
      <w:divBdr>
        <w:top w:val="none" w:sz="0" w:space="0" w:color="auto"/>
        <w:left w:val="none" w:sz="0" w:space="0" w:color="auto"/>
        <w:bottom w:val="none" w:sz="0" w:space="0" w:color="auto"/>
        <w:right w:val="none" w:sz="0" w:space="0" w:color="auto"/>
      </w:divBdr>
    </w:div>
    <w:div w:id="2020309579">
      <w:marLeft w:val="0"/>
      <w:marRight w:val="0"/>
      <w:marTop w:val="0"/>
      <w:marBottom w:val="0"/>
      <w:divBdr>
        <w:top w:val="none" w:sz="0" w:space="0" w:color="auto"/>
        <w:left w:val="none" w:sz="0" w:space="0" w:color="auto"/>
        <w:bottom w:val="none" w:sz="0" w:space="0" w:color="auto"/>
        <w:right w:val="none" w:sz="0" w:space="0" w:color="auto"/>
      </w:divBdr>
    </w:div>
    <w:div w:id="2020309580">
      <w:marLeft w:val="0"/>
      <w:marRight w:val="0"/>
      <w:marTop w:val="0"/>
      <w:marBottom w:val="0"/>
      <w:divBdr>
        <w:top w:val="none" w:sz="0" w:space="0" w:color="auto"/>
        <w:left w:val="none" w:sz="0" w:space="0" w:color="auto"/>
        <w:bottom w:val="none" w:sz="0" w:space="0" w:color="auto"/>
        <w:right w:val="none" w:sz="0" w:space="0" w:color="auto"/>
      </w:divBdr>
    </w:div>
    <w:div w:id="2020309581">
      <w:marLeft w:val="0"/>
      <w:marRight w:val="0"/>
      <w:marTop w:val="0"/>
      <w:marBottom w:val="0"/>
      <w:divBdr>
        <w:top w:val="none" w:sz="0" w:space="0" w:color="auto"/>
        <w:left w:val="none" w:sz="0" w:space="0" w:color="auto"/>
        <w:bottom w:val="none" w:sz="0" w:space="0" w:color="auto"/>
        <w:right w:val="none" w:sz="0" w:space="0" w:color="auto"/>
      </w:divBdr>
    </w:div>
    <w:div w:id="2020309582">
      <w:marLeft w:val="0"/>
      <w:marRight w:val="0"/>
      <w:marTop w:val="0"/>
      <w:marBottom w:val="0"/>
      <w:divBdr>
        <w:top w:val="none" w:sz="0" w:space="0" w:color="auto"/>
        <w:left w:val="none" w:sz="0" w:space="0" w:color="auto"/>
        <w:bottom w:val="none" w:sz="0" w:space="0" w:color="auto"/>
        <w:right w:val="none" w:sz="0" w:space="0" w:color="auto"/>
      </w:divBdr>
    </w:div>
    <w:div w:id="2020309583">
      <w:marLeft w:val="0"/>
      <w:marRight w:val="0"/>
      <w:marTop w:val="0"/>
      <w:marBottom w:val="0"/>
      <w:divBdr>
        <w:top w:val="none" w:sz="0" w:space="0" w:color="auto"/>
        <w:left w:val="none" w:sz="0" w:space="0" w:color="auto"/>
        <w:bottom w:val="none" w:sz="0" w:space="0" w:color="auto"/>
        <w:right w:val="none" w:sz="0" w:space="0" w:color="auto"/>
      </w:divBdr>
    </w:div>
    <w:div w:id="2020309584">
      <w:marLeft w:val="0"/>
      <w:marRight w:val="0"/>
      <w:marTop w:val="0"/>
      <w:marBottom w:val="0"/>
      <w:divBdr>
        <w:top w:val="none" w:sz="0" w:space="0" w:color="auto"/>
        <w:left w:val="none" w:sz="0" w:space="0" w:color="auto"/>
        <w:bottom w:val="none" w:sz="0" w:space="0" w:color="auto"/>
        <w:right w:val="none" w:sz="0" w:space="0" w:color="auto"/>
      </w:divBdr>
    </w:div>
    <w:div w:id="2020309585">
      <w:marLeft w:val="0"/>
      <w:marRight w:val="0"/>
      <w:marTop w:val="0"/>
      <w:marBottom w:val="0"/>
      <w:divBdr>
        <w:top w:val="none" w:sz="0" w:space="0" w:color="auto"/>
        <w:left w:val="none" w:sz="0" w:space="0" w:color="auto"/>
        <w:bottom w:val="none" w:sz="0" w:space="0" w:color="auto"/>
        <w:right w:val="none" w:sz="0" w:space="0" w:color="auto"/>
      </w:divBdr>
    </w:div>
    <w:div w:id="2020309586">
      <w:marLeft w:val="0"/>
      <w:marRight w:val="0"/>
      <w:marTop w:val="0"/>
      <w:marBottom w:val="0"/>
      <w:divBdr>
        <w:top w:val="none" w:sz="0" w:space="0" w:color="auto"/>
        <w:left w:val="none" w:sz="0" w:space="0" w:color="auto"/>
        <w:bottom w:val="none" w:sz="0" w:space="0" w:color="auto"/>
        <w:right w:val="none" w:sz="0" w:space="0" w:color="auto"/>
      </w:divBdr>
    </w:div>
    <w:div w:id="2020309587">
      <w:marLeft w:val="0"/>
      <w:marRight w:val="0"/>
      <w:marTop w:val="0"/>
      <w:marBottom w:val="0"/>
      <w:divBdr>
        <w:top w:val="none" w:sz="0" w:space="0" w:color="auto"/>
        <w:left w:val="none" w:sz="0" w:space="0" w:color="auto"/>
        <w:bottom w:val="none" w:sz="0" w:space="0" w:color="auto"/>
        <w:right w:val="none" w:sz="0" w:space="0" w:color="auto"/>
      </w:divBdr>
    </w:div>
    <w:div w:id="2020309588">
      <w:marLeft w:val="0"/>
      <w:marRight w:val="0"/>
      <w:marTop w:val="0"/>
      <w:marBottom w:val="0"/>
      <w:divBdr>
        <w:top w:val="none" w:sz="0" w:space="0" w:color="auto"/>
        <w:left w:val="none" w:sz="0" w:space="0" w:color="auto"/>
        <w:bottom w:val="none" w:sz="0" w:space="0" w:color="auto"/>
        <w:right w:val="none" w:sz="0" w:space="0" w:color="auto"/>
      </w:divBdr>
    </w:div>
    <w:div w:id="2020309589">
      <w:marLeft w:val="0"/>
      <w:marRight w:val="0"/>
      <w:marTop w:val="0"/>
      <w:marBottom w:val="0"/>
      <w:divBdr>
        <w:top w:val="none" w:sz="0" w:space="0" w:color="auto"/>
        <w:left w:val="none" w:sz="0" w:space="0" w:color="auto"/>
        <w:bottom w:val="none" w:sz="0" w:space="0" w:color="auto"/>
        <w:right w:val="none" w:sz="0" w:space="0" w:color="auto"/>
      </w:divBdr>
    </w:div>
    <w:div w:id="2020309590">
      <w:marLeft w:val="0"/>
      <w:marRight w:val="0"/>
      <w:marTop w:val="0"/>
      <w:marBottom w:val="0"/>
      <w:divBdr>
        <w:top w:val="none" w:sz="0" w:space="0" w:color="auto"/>
        <w:left w:val="none" w:sz="0" w:space="0" w:color="auto"/>
        <w:bottom w:val="none" w:sz="0" w:space="0" w:color="auto"/>
        <w:right w:val="none" w:sz="0" w:space="0" w:color="auto"/>
      </w:divBdr>
    </w:div>
    <w:div w:id="2020309591">
      <w:marLeft w:val="0"/>
      <w:marRight w:val="0"/>
      <w:marTop w:val="0"/>
      <w:marBottom w:val="0"/>
      <w:divBdr>
        <w:top w:val="none" w:sz="0" w:space="0" w:color="auto"/>
        <w:left w:val="none" w:sz="0" w:space="0" w:color="auto"/>
        <w:bottom w:val="none" w:sz="0" w:space="0" w:color="auto"/>
        <w:right w:val="none" w:sz="0" w:space="0" w:color="auto"/>
      </w:divBdr>
    </w:div>
    <w:div w:id="2020309592">
      <w:marLeft w:val="0"/>
      <w:marRight w:val="0"/>
      <w:marTop w:val="0"/>
      <w:marBottom w:val="0"/>
      <w:divBdr>
        <w:top w:val="none" w:sz="0" w:space="0" w:color="auto"/>
        <w:left w:val="none" w:sz="0" w:space="0" w:color="auto"/>
        <w:bottom w:val="none" w:sz="0" w:space="0" w:color="auto"/>
        <w:right w:val="none" w:sz="0" w:space="0" w:color="auto"/>
      </w:divBdr>
    </w:div>
    <w:div w:id="2020309593">
      <w:marLeft w:val="0"/>
      <w:marRight w:val="0"/>
      <w:marTop w:val="0"/>
      <w:marBottom w:val="0"/>
      <w:divBdr>
        <w:top w:val="none" w:sz="0" w:space="0" w:color="auto"/>
        <w:left w:val="none" w:sz="0" w:space="0" w:color="auto"/>
        <w:bottom w:val="none" w:sz="0" w:space="0" w:color="auto"/>
        <w:right w:val="none" w:sz="0" w:space="0" w:color="auto"/>
      </w:divBdr>
    </w:div>
    <w:div w:id="2020309594">
      <w:marLeft w:val="0"/>
      <w:marRight w:val="0"/>
      <w:marTop w:val="0"/>
      <w:marBottom w:val="0"/>
      <w:divBdr>
        <w:top w:val="none" w:sz="0" w:space="0" w:color="auto"/>
        <w:left w:val="none" w:sz="0" w:space="0" w:color="auto"/>
        <w:bottom w:val="none" w:sz="0" w:space="0" w:color="auto"/>
        <w:right w:val="none" w:sz="0" w:space="0" w:color="auto"/>
      </w:divBdr>
    </w:div>
    <w:div w:id="2020309595">
      <w:marLeft w:val="0"/>
      <w:marRight w:val="0"/>
      <w:marTop w:val="0"/>
      <w:marBottom w:val="0"/>
      <w:divBdr>
        <w:top w:val="none" w:sz="0" w:space="0" w:color="auto"/>
        <w:left w:val="none" w:sz="0" w:space="0" w:color="auto"/>
        <w:bottom w:val="none" w:sz="0" w:space="0" w:color="auto"/>
        <w:right w:val="none" w:sz="0" w:space="0" w:color="auto"/>
      </w:divBdr>
    </w:div>
    <w:div w:id="2020309596">
      <w:marLeft w:val="0"/>
      <w:marRight w:val="0"/>
      <w:marTop w:val="0"/>
      <w:marBottom w:val="0"/>
      <w:divBdr>
        <w:top w:val="none" w:sz="0" w:space="0" w:color="auto"/>
        <w:left w:val="none" w:sz="0" w:space="0" w:color="auto"/>
        <w:bottom w:val="none" w:sz="0" w:space="0" w:color="auto"/>
        <w:right w:val="none" w:sz="0" w:space="0" w:color="auto"/>
      </w:divBdr>
    </w:div>
    <w:div w:id="2020309597">
      <w:marLeft w:val="0"/>
      <w:marRight w:val="0"/>
      <w:marTop w:val="0"/>
      <w:marBottom w:val="0"/>
      <w:divBdr>
        <w:top w:val="none" w:sz="0" w:space="0" w:color="auto"/>
        <w:left w:val="none" w:sz="0" w:space="0" w:color="auto"/>
        <w:bottom w:val="none" w:sz="0" w:space="0" w:color="auto"/>
        <w:right w:val="none" w:sz="0" w:space="0" w:color="auto"/>
      </w:divBdr>
    </w:div>
    <w:div w:id="2020309598">
      <w:marLeft w:val="0"/>
      <w:marRight w:val="0"/>
      <w:marTop w:val="0"/>
      <w:marBottom w:val="0"/>
      <w:divBdr>
        <w:top w:val="none" w:sz="0" w:space="0" w:color="auto"/>
        <w:left w:val="none" w:sz="0" w:space="0" w:color="auto"/>
        <w:bottom w:val="none" w:sz="0" w:space="0" w:color="auto"/>
        <w:right w:val="none" w:sz="0" w:space="0" w:color="auto"/>
      </w:divBdr>
    </w:div>
    <w:div w:id="2020309599">
      <w:marLeft w:val="0"/>
      <w:marRight w:val="0"/>
      <w:marTop w:val="0"/>
      <w:marBottom w:val="0"/>
      <w:divBdr>
        <w:top w:val="none" w:sz="0" w:space="0" w:color="auto"/>
        <w:left w:val="none" w:sz="0" w:space="0" w:color="auto"/>
        <w:bottom w:val="none" w:sz="0" w:space="0" w:color="auto"/>
        <w:right w:val="none" w:sz="0" w:space="0" w:color="auto"/>
      </w:divBdr>
    </w:div>
    <w:div w:id="2020309600">
      <w:marLeft w:val="0"/>
      <w:marRight w:val="0"/>
      <w:marTop w:val="0"/>
      <w:marBottom w:val="0"/>
      <w:divBdr>
        <w:top w:val="none" w:sz="0" w:space="0" w:color="auto"/>
        <w:left w:val="none" w:sz="0" w:space="0" w:color="auto"/>
        <w:bottom w:val="none" w:sz="0" w:space="0" w:color="auto"/>
        <w:right w:val="none" w:sz="0" w:space="0" w:color="auto"/>
      </w:divBdr>
    </w:div>
    <w:div w:id="2020309601">
      <w:marLeft w:val="0"/>
      <w:marRight w:val="0"/>
      <w:marTop w:val="0"/>
      <w:marBottom w:val="0"/>
      <w:divBdr>
        <w:top w:val="none" w:sz="0" w:space="0" w:color="auto"/>
        <w:left w:val="none" w:sz="0" w:space="0" w:color="auto"/>
        <w:bottom w:val="none" w:sz="0" w:space="0" w:color="auto"/>
        <w:right w:val="none" w:sz="0" w:space="0" w:color="auto"/>
      </w:divBdr>
    </w:div>
    <w:div w:id="2020309602">
      <w:marLeft w:val="0"/>
      <w:marRight w:val="0"/>
      <w:marTop w:val="0"/>
      <w:marBottom w:val="0"/>
      <w:divBdr>
        <w:top w:val="none" w:sz="0" w:space="0" w:color="auto"/>
        <w:left w:val="none" w:sz="0" w:space="0" w:color="auto"/>
        <w:bottom w:val="none" w:sz="0" w:space="0" w:color="auto"/>
        <w:right w:val="none" w:sz="0" w:space="0" w:color="auto"/>
      </w:divBdr>
    </w:div>
    <w:div w:id="2020309603">
      <w:marLeft w:val="0"/>
      <w:marRight w:val="0"/>
      <w:marTop w:val="0"/>
      <w:marBottom w:val="0"/>
      <w:divBdr>
        <w:top w:val="none" w:sz="0" w:space="0" w:color="auto"/>
        <w:left w:val="none" w:sz="0" w:space="0" w:color="auto"/>
        <w:bottom w:val="none" w:sz="0" w:space="0" w:color="auto"/>
        <w:right w:val="none" w:sz="0" w:space="0" w:color="auto"/>
      </w:divBdr>
    </w:div>
    <w:div w:id="2020309604">
      <w:marLeft w:val="0"/>
      <w:marRight w:val="0"/>
      <w:marTop w:val="0"/>
      <w:marBottom w:val="0"/>
      <w:divBdr>
        <w:top w:val="none" w:sz="0" w:space="0" w:color="auto"/>
        <w:left w:val="none" w:sz="0" w:space="0" w:color="auto"/>
        <w:bottom w:val="none" w:sz="0" w:space="0" w:color="auto"/>
        <w:right w:val="none" w:sz="0" w:space="0" w:color="auto"/>
      </w:divBdr>
    </w:div>
    <w:div w:id="2020309605">
      <w:marLeft w:val="0"/>
      <w:marRight w:val="0"/>
      <w:marTop w:val="0"/>
      <w:marBottom w:val="0"/>
      <w:divBdr>
        <w:top w:val="none" w:sz="0" w:space="0" w:color="auto"/>
        <w:left w:val="none" w:sz="0" w:space="0" w:color="auto"/>
        <w:bottom w:val="none" w:sz="0" w:space="0" w:color="auto"/>
        <w:right w:val="none" w:sz="0" w:space="0" w:color="auto"/>
      </w:divBdr>
    </w:div>
    <w:div w:id="2020309606">
      <w:marLeft w:val="0"/>
      <w:marRight w:val="0"/>
      <w:marTop w:val="0"/>
      <w:marBottom w:val="0"/>
      <w:divBdr>
        <w:top w:val="none" w:sz="0" w:space="0" w:color="auto"/>
        <w:left w:val="none" w:sz="0" w:space="0" w:color="auto"/>
        <w:bottom w:val="none" w:sz="0" w:space="0" w:color="auto"/>
        <w:right w:val="none" w:sz="0" w:space="0" w:color="auto"/>
      </w:divBdr>
    </w:div>
    <w:div w:id="2020309607">
      <w:marLeft w:val="0"/>
      <w:marRight w:val="0"/>
      <w:marTop w:val="0"/>
      <w:marBottom w:val="0"/>
      <w:divBdr>
        <w:top w:val="none" w:sz="0" w:space="0" w:color="auto"/>
        <w:left w:val="none" w:sz="0" w:space="0" w:color="auto"/>
        <w:bottom w:val="none" w:sz="0" w:space="0" w:color="auto"/>
        <w:right w:val="none" w:sz="0" w:space="0" w:color="auto"/>
      </w:divBdr>
    </w:div>
    <w:div w:id="2020309608">
      <w:marLeft w:val="0"/>
      <w:marRight w:val="0"/>
      <w:marTop w:val="0"/>
      <w:marBottom w:val="0"/>
      <w:divBdr>
        <w:top w:val="none" w:sz="0" w:space="0" w:color="auto"/>
        <w:left w:val="none" w:sz="0" w:space="0" w:color="auto"/>
        <w:bottom w:val="none" w:sz="0" w:space="0" w:color="auto"/>
        <w:right w:val="none" w:sz="0" w:space="0" w:color="auto"/>
      </w:divBdr>
    </w:div>
    <w:div w:id="2020309609">
      <w:marLeft w:val="0"/>
      <w:marRight w:val="0"/>
      <w:marTop w:val="0"/>
      <w:marBottom w:val="0"/>
      <w:divBdr>
        <w:top w:val="none" w:sz="0" w:space="0" w:color="auto"/>
        <w:left w:val="none" w:sz="0" w:space="0" w:color="auto"/>
        <w:bottom w:val="none" w:sz="0" w:space="0" w:color="auto"/>
        <w:right w:val="none" w:sz="0" w:space="0" w:color="auto"/>
      </w:divBdr>
    </w:div>
    <w:div w:id="2020309610">
      <w:marLeft w:val="0"/>
      <w:marRight w:val="0"/>
      <w:marTop w:val="0"/>
      <w:marBottom w:val="0"/>
      <w:divBdr>
        <w:top w:val="none" w:sz="0" w:space="0" w:color="auto"/>
        <w:left w:val="none" w:sz="0" w:space="0" w:color="auto"/>
        <w:bottom w:val="none" w:sz="0" w:space="0" w:color="auto"/>
        <w:right w:val="none" w:sz="0" w:space="0" w:color="auto"/>
      </w:divBdr>
    </w:div>
    <w:div w:id="2020309611">
      <w:marLeft w:val="0"/>
      <w:marRight w:val="0"/>
      <w:marTop w:val="0"/>
      <w:marBottom w:val="0"/>
      <w:divBdr>
        <w:top w:val="none" w:sz="0" w:space="0" w:color="auto"/>
        <w:left w:val="none" w:sz="0" w:space="0" w:color="auto"/>
        <w:bottom w:val="none" w:sz="0" w:space="0" w:color="auto"/>
        <w:right w:val="none" w:sz="0" w:space="0" w:color="auto"/>
      </w:divBdr>
    </w:div>
    <w:div w:id="2020309612">
      <w:marLeft w:val="0"/>
      <w:marRight w:val="0"/>
      <w:marTop w:val="0"/>
      <w:marBottom w:val="0"/>
      <w:divBdr>
        <w:top w:val="none" w:sz="0" w:space="0" w:color="auto"/>
        <w:left w:val="none" w:sz="0" w:space="0" w:color="auto"/>
        <w:bottom w:val="none" w:sz="0" w:space="0" w:color="auto"/>
        <w:right w:val="none" w:sz="0" w:space="0" w:color="auto"/>
      </w:divBdr>
    </w:div>
    <w:div w:id="2020309613">
      <w:marLeft w:val="0"/>
      <w:marRight w:val="0"/>
      <w:marTop w:val="0"/>
      <w:marBottom w:val="0"/>
      <w:divBdr>
        <w:top w:val="none" w:sz="0" w:space="0" w:color="auto"/>
        <w:left w:val="none" w:sz="0" w:space="0" w:color="auto"/>
        <w:bottom w:val="none" w:sz="0" w:space="0" w:color="auto"/>
        <w:right w:val="none" w:sz="0" w:space="0" w:color="auto"/>
      </w:divBdr>
    </w:div>
    <w:div w:id="2020309614">
      <w:marLeft w:val="0"/>
      <w:marRight w:val="0"/>
      <w:marTop w:val="0"/>
      <w:marBottom w:val="0"/>
      <w:divBdr>
        <w:top w:val="none" w:sz="0" w:space="0" w:color="auto"/>
        <w:left w:val="none" w:sz="0" w:space="0" w:color="auto"/>
        <w:bottom w:val="none" w:sz="0" w:space="0" w:color="auto"/>
        <w:right w:val="none" w:sz="0" w:space="0" w:color="auto"/>
      </w:divBdr>
    </w:div>
    <w:div w:id="2020309615">
      <w:marLeft w:val="0"/>
      <w:marRight w:val="0"/>
      <w:marTop w:val="0"/>
      <w:marBottom w:val="0"/>
      <w:divBdr>
        <w:top w:val="none" w:sz="0" w:space="0" w:color="auto"/>
        <w:left w:val="none" w:sz="0" w:space="0" w:color="auto"/>
        <w:bottom w:val="none" w:sz="0" w:space="0" w:color="auto"/>
        <w:right w:val="none" w:sz="0" w:space="0" w:color="auto"/>
      </w:divBdr>
    </w:div>
    <w:div w:id="2020309616">
      <w:marLeft w:val="0"/>
      <w:marRight w:val="0"/>
      <w:marTop w:val="0"/>
      <w:marBottom w:val="0"/>
      <w:divBdr>
        <w:top w:val="none" w:sz="0" w:space="0" w:color="auto"/>
        <w:left w:val="none" w:sz="0" w:space="0" w:color="auto"/>
        <w:bottom w:val="none" w:sz="0" w:space="0" w:color="auto"/>
        <w:right w:val="none" w:sz="0" w:space="0" w:color="auto"/>
      </w:divBdr>
    </w:div>
    <w:div w:id="2020309617">
      <w:marLeft w:val="0"/>
      <w:marRight w:val="0"/>
      <w:marTop w:val="0"/>
      <w:marBottom w:val="0"/>
      <w:divBdr>
        <w:top w:val="none" w:sz="0" w:space="0" w:color="auto"/>
        <w:left w:val="none" w:sz="0" w:space="0" w:color="auto"/>
        <w:bottom w:val="none" w:sz="0" w:space="0" w:color="auto"/>
        <w:right w:val="none" w:sz="0" w:space="0" w:color="auto"/>
      </w:divBdr>
    </w:div>
    <w:div w:id="2020309618">
      <w:marLeft w:val="0"/>
      <w:marRight w:val="0"/>
      <w:marTop w:val="0"/>
      <w:marBottom w:val="0"/>
      <w:divBdr>
        <w:top w:val="none" w:sz="0" w:space="0" w:color="auto"/>
        <w:left w:val="none" w:sz="0" w:space="0" w:color="auto"/>
        <w:bottom w:val="none" w:sz="0" w:space="0" w:color="auto"/>
        <w:right w:val="none" w:sz="0" w:space="0" w:color="auto"/>
      </w:divBdr>
    </w:div>
    <w:div w:id="2020309619">
      <w:marLeft w:val="0"/>
      <w:marRight w:val="0"/>
      <w:marTop w:val="0"/>
      <w:marBottom w:val="0"/>
      <w:divBdr>
        <w:top w:val="none" w:sz="0" w:space="0" w:color="auto"/>
        <w:left w:val="none" w:sz="0" w:space="0" w:color="auto"/>
        <w:bottom w:val="none" w:sz="0" w:space="0" w:color="auto"/>
        <w:right w:val="none" w:sz="0" w:space="0" w:color="auto"/>
      </w:divBdr>
    </w:div>
    <w:div w:id="2020309620">
      <w:marLeft w:val="0"/>
      <w:marRight w:val="0"/>
      <w:marTop w:val="0"/>
      <w:marBottom w:val="0"/>
      <w:divBdr>
        <w:top w:val="none" w:sz="0" w:space="0" w:color="auto"/>
        <w:left w:val="none" w:sz="0" w:space="0" w:color="auto"/>
        <w:bottom w:val="none" w:sz="0" w:space="0" w:color="auto"/>
        <w:right w:val="none" w:sz="0" w:space="0" w:color="auto"/>
      </w:divBdr>
    </w:div>
    <w:div w:id="2020309621">
      <w:marLeft w:val="0"/>
      <w:marRight w:val="0"/>
      <w:marTop w:val="0"/>
      <w:marBottom w:val="0"/>
      <w:divBdr>
        <w:top w:val="none" w:sz="0" w:space="0" w:color="auto"/>
        <w:left w:val="none" w:sz="0" w:space="0" w:color="auto"/>
        <w:bottom w:val="none" w:sz="0" w:space="0" w:color="auto"/>
        <w:right w:val="none" w:sz="0" w:space="0" w:color="auto"/>
      </w:divBdr>
    </w:div>
    <w:div w:id="2020309622">
      <w:marLeft w:val="0"/>
      <w:marRight w:val="0"/>
      <w:marTop w:val="0"/>
      <w:marBottom w:val="0"/>
      <w:divBdr>
        <w:top w:val="none" w:sz="0" w:space="0" w:color="auto"/>
        <w:left w:val="none" w:sz="0" w:space="0" w:color="auto"/>
        <w:bottom w:val="none" w:sz="0" w:space="0" w:color="auto"/>
        <w:right w:val="none" w:sz="0" w:space="0" w:color="auto"/>
      </w:divBdr>
    </w:div>
    <w:div w:id="2020309623">
      <w:marLeft w:val="0"/>
      <w:marRight w:val="0"/>
      <w:marTop w:val="0"/>
      <w:marBottom w:val="0"/>
      <w:divBdr>
        <w:top w:val="none" w:sz="0" w:space="0" w:color="auto"/>
        <w:left w:val="none" w:sz="0" w:space="0" w:color="auto"/>
        <w:bottom w:val="none" w:sz="0" w:space="0" w:color="auto"/>
        <w:right w:val="none" w:sz="0" w:space="0" w:color="auto"/>
      </w:divBdr>
    </w:div>
    <w:div w:id="2020309624">
      <w:marLeft w:val="0"/>
      <w:marRight w:val="0"/>
      <w:marTop w:val="0"/>
      <w:marBottom w:val="0"/>
      <w:divBdr>
        <w:top w:val="none" w:sz="0" w:space="0" w:color="auto"/>
        <w:left w:val="none" w:sz="0" w:space="0" w:color="auto"/>
        <w:bottom w:val="none" w:sz="0" w:space="0" w:color="auto"/>
        <w:right w:val="none" w:sz="0" w:space="0" w:color="auto"/>
      </w:divBdr>
    </w:div>
    <w:div w:id="2020309625">
      <w:marLeft w:val="0"/>
      <w:marRight w:val="0"/>
      <w:marTop w:val="0"/>
      <w:marBottom w:val="0"/>
      <w:divBdr>
        <w:top w:val="none" w:sz="0" w:space="0" w:color="auto"/>
        <w:left w:val="none" w:sz="0" w:space="0" w:color="auto"/>
        <w:bottom w:val="none" w:sz="0" w:space="0" w:color="auto"/>
        <w:right w:val="none" w:sz="0" w:space="0" w:color="auto"/>
      </w:divBdr>
    </w:div>
    <w:div w:id="2020309626">
      <w:marLeft w:val="0"/>
      <w:marRight w:val="0"/>
      <w:marTop w:val="0"/>
      <w:marBottom w:val="0"/>
      <w:divBdr>
        <w:top w:val="none" w:sz="0" w:space="0" w:color="auto"/>
        <w:left w:val="none" w:sz="0" w:space="0" w:color="auto"/>
        <w:bottom w:val="none" w:sz="0" w:space="0" w:color="auto"/>
        <w:right w:val="none" w:sz="0" w:space="0" w:color="auto"/>
      </w:divBdr>
    </w:div>
    <w:div w:id="2020309627">
      <w:marLeft w:val="0"/>
      <w:marRight w:val="0"/>
      <w:marTop w:val="0"/>
      <w:marBottom w:val="0"/>
      <w:divBdr>
        <w:top w:val="none" w:sz="0" w:space="0" w:color="auto"/>
        <w:left w:val="none" w:sz="0" w:space="0" w:color="auto"/>
        <w:bottom w:val="none" w:sz="0" w:space="0" w:color="auto"/>
        <w:right w:val="none" w:sz="0" w:space="0" w:color="auto"/>
      </w:divBdr>
    </w:div>
    <w:div w:id="2020309628">
      <w:marLeft w:val="0"/>
      <w:marRight w:val="0"/>
      <w:marTop w:val="0"/>
      <w:marBottom w:val="0"/>
      <w:divBdr>
        <w:top w:val="none" w:sz="0" w:space="0" w:color="auto"/>
        <w:left w:val="none" w:sz="0" w:space="0" w:color="auto"/>
        <w:bottom w:val="none" w:sz="0" w:space="0" w:color="auto"/>
        <w:right w:val="none" w:sz="0" w:space="0" w:color="auto"/>
      </w:divBdr>
    </w:div>
    <w:div w:id="2020309629">
      <w:marLeft w:val="0"/>
      <w:marRight w:val="0"/>
      <w:marTop w:val="0"/>
      <w:marBottom w:val="0"/>
      <w:divBdr>
        <w:top w:val="none" w:sz="0" w:space="0" w:color="auto"/>
        <w:left w:val="none" w:sz="0" w:space="0" w:color="auto"/>
        <w:bottom w:val="none" w:sz="0" w:space="0" w:color="auto"/>
        <w:right w:val="none" w:sz="0" w:space="0" w:color="auto"/>
      </w:divBdr>
    </w:div>
    <w:div w:id="2020309630">
      <w:marLeft w:val="0"/>
      <w:marRight w:val="0"/>
      <w:marTop w:val="0"/>
      <w:marBottom w:val="0"/>
      <w:divBdr>
        <w:top w:val="none" w:sz="0" w:space="0" w:color="auto"/>
        <w:left w:val="none" w:sz="0" w:space="0" w:color="auto"/>
        <w:bottom w:val="none" w:sz="0" w:space="0" w:color="auto"/>
        <w:right w:val="none" w:sz="0" w:space="0" w:color="auto"/>
      </w:divBdr>
    </w:div>
    <w:div w:id="2020309631">
      <w:marLeft w:val="0"/>
      <w:marRight w:val="0"/>
      <w:marTop w:val="0"/>
      <w:marBottom w:val="0"/>
      <w:divBdr>
        <w:top w:val="none" w:sz="0" w:space="0" w:color="auto"/>
        <w:left w:val="none" w:sz="0" w:space="0" w:color="auto"/>
        <w:bottom w:val="none" w:sz="0" w:space="0" w:color="auto"/>
        <w:right w:val="none" w:sz="0" w:space="0" w:color="auto"/>
      </w:divBdr>
    </w:div>
    <w:div w:id="2020309632">
      <w:marLeft w:val="0"/>
      <w:marRight w:val="0"/>
      <w:marTop w:val="0"/>
      <w:marBottom w:val="0"/>
      <w:divBdr>
        <w:top w:val="none" w:sz="0" w:space="0" w:color="auto"/>
        <w:left w:val="none" w:sz="0" w:space="0" w:color="auto"/>
        <w:bottom w:val="none" w:sz="0" w:space="0" w:color="auto"/>
        <w:right w:val="none" w:sz="0" w:space="0" w:color="auto"/>
      </w:divBdr>
    </w:div>
    <w:div w:id="2020309633">
      <w:marLeft w:val="0"/>
      <w:marRight w:val="0"/>
      <w:marTop w:val="0"/>
      <w:marBottom w:val="0"/>
      <w:divBdr>
        <w:top w:val="none" w:sz="0" w:space="0" w:color="auto"/>
        <w:left w:val="none" w:sz="0" w:space="0" w:color="auto"/>
        <w:bottom w:val="none" w:sz="0" w:space="0" w:color="auto"/>
        <w:right w:val="none" w:sz="0" w:space="0" w:color="auto"/>
      </w:divBdr>
    </w:div>
    <w:div w:id="2020309634">
      <w:marLeft w:val="0"/>
      <w:marRight w:val="0"/>
      <w:marTop w:val="0"/>
      <w:marBottom w:val="0"/>
      <w:divBdr>
        <w:top w:val="none" w:sz="0" w:space="0" w:color="auto"/>
        <w:left w:val="none" w:sz="0" w:space="0" w:color="auto"/>
        <w:bottom w:val="none" w:sz="0" w:space="0" w:color="auto"/>
        <w:right w:val="none" w:sz="0" w:space="0" w:color="auto"/>
      </w:divBdr>
    </w:div>
    <w:div w:id="2020309635">
      <w:marLeft w:val="0"/>
      <w:marRight w:val="0"/>
      <w:marTop w:val="0"/>
      <w:marBottom w:val="0"/>
      <w:divBdr>
        <w:top w:val="none" w:sz="0" w:space="0" w:color="auto"/>
        <w:left w:val="none" w:sz="0" w:space="0" w:color="auto"/>
        <w:bottom w:val="none" w:sz="0" w:space="0" w:color="auto"/>
        <w:right w:val="none" w:sz="0" w:space="0" w:color="auto"/>
      </w:divBdr>
    </w:div>
    <w:div w:id="2020309636">
      <w:marLeft w:val="0"/>
      <w:marRight w:val="0"/>
      <w:marTop w:val="0"/>
      <w:marBottom w:val="0"/>
      <w:divBdr>
        <w:top w:val="none" w:sz="0" w:space="0" w:color="auto"/>
        <w:left w:val="none" w:sz="0" w:space="0" w:color="auto"/>
        <w:bottom w:val="none" w:sz="0" w:space="0" w:color="auto"/>
        <w:right w:val="none" w:sz="0" w:space="0" w:color="auto"/>
      </w:divBdr>
    </w:div>
    <w:div w:id="2020309637">
      <w:marLeft w:val="0"/>
      <w:marRight w:val="0"/>
      <w:marTop w:val="0"/>
      <w:marBottom w:val="0"/>
      <w:divBdr>
        <w:top w:val="none" w:sz="0" w:space="0" w:color="auto"/>
        <w:left w:val="none" w:sz="0" w:space="0" w:color="auto"/>
        <w:bottom w:val="none" w:sz="0" w:space="0" w:color="auto"/>
        <w:right w:val="none" w:sz="0" w:space="0" w:color="auto"/>
      </w:divBdr>
    </w:div>
    <w:div w:id="2020309638">
      <w:marLeft w:val="0"/>
      <w:marRight w:val="0"/>
      <w:marTop w:val="0"/>
      <w:marBottom w:val="0"/>
      <w:divBdr>
        <w:top w:val="none" w:sz="0" w:space="0" w:color="auto"/>
        <w:left w:val="none" w:sz="0" w:space="0" w:color="auto"/>
        <w:bottom w:val="none" w:sz="0" w:space="0" w:color="auto"/>
        <w:right w:val="none" w:sz="0" w:space="0" w:color="auto"/>
      </w:divBdr>
    </w:div>
    <w:div w:id="2020309639">
      <w:marLeft w:val="0"/>
      <w:marRight w:val="0"/>
      <w:marTop w:val="0"/>
      <w:marBottom w:val="0"/>
      <w:divBdr>
        <w:top w:val="none" w:sz="0" w:space="0" w:color="auto"/>
        <w:left w:val="none" w:sz="0" w:space="0" w:color="auto"/>
        <w:bottom w:val="none" w:sz="0" w:space="0" w:color="auto"/>
        <w:right w:val="none" w:sz="0" w:space="0" w:color="auto"/>
      </w:divBdr>
    </w:div>
    <w:div w:id="2020309640">
      <w:marLeft w:val="0"/>
      <w:marRight w:val="0"/>
      <w:marTop w:val="0"/>
      <w:marBottom w:val="0"/>
      <w:divBdr>
        <w:top w:val="none" w:sz="0" w:space="0" w:color="auto"/>
        <w:left w:val="none" w:sz="0" w:space="0" w:color="auto"/>
        <w:bottom w:val="none" w:sz="0" w:space="0" w:color="auto"/>
        <w:right w:val="none" w:sz="0" w:space="0" w:color="auto"/>
      </w:divBdr>
    </w:div>
    <w:div w:id="2020309641">
      <w:marLeft w:val="0"/>
      <w:marRight w:val="0"/>
      <w:marTop w:val="0"/>
      <w:marBottom w:val="0"/>
      <w:divBdr>
        <w:top w:val="none" w:sz="0" w:space="0" w:color="auto"/>
        <w:left w:val="none" w:sz="0" w:space="0" w:color="auto"/>
        <w:bottom w:val="none" w:sz="0" w:space="0" w:color="auto"/>
        <w:right w:val="none" w:sz="0" w:space="0" w:color="auto"/>
      </w:divBdr>
    </w:div>
    <w:div w:id="2020309642">
      <w:marLeft w:val="0"/>
      <w:marRight w:val="0"/>
      <w:marTop w:val="0"/>
      <w:marBottom w:val="0"/>
      <w:divBdr>
        <w:top w:val="none" w:sz="0" w:space="0" w:color="auto"/>
        <w:left w:val="none" w:sz="0" w:space="0" w:color="auto"/>
        <w:bottom w:val="none" w:sz="0" w:space="0" w:color="auto"/>
        <w:right w:val="none" w:sz="0" w:space="0" w:color="auto"/>
      </w:divBdr>
    </w:div>
    <w:div w:id="2020309643">
      <w:marLeft w:val="0"/>
      <w:marRight w:val="0"/>
      <w:marTop w:val="0"/>
      <w:marBottom w:val="0"/>
      <w:divBdr>
        <w:top w:val="none" w:sz="0" w:space="0" w:color="auto"/>
        <w:left w:val="none" w:sz="0" w:space="0" w:color="auto"/>
        <w:bottom w:val="none" w:sz="0" w:space="0" w:color="auto"/>
        <w:right w:val="none" w:sz="0" w:space="0" w:color="auto"/>
      </w:divBdr>
    </w:div>
    <w:div w:id="2020309644">
      <w:marLeft w:val="0"/>
      <w:marRight w:val="0"/>
      <w:marTop w:val="0"/>
      <w:marBottom w:val="0"/>
      <w:divBdr>
        <w:top w:val="none" w:sz="0" w:space="0" w:color="auto"/>
        <w:left w:val="none" w:sz="0" w:space="0" w:color="auto"/>
        <w:bottom w:val="none" w:sz="0" w:space="0" w:color="auto"/>
        <w:right w:val="none" w:sz="0" w:space="0" w:color="auto"/>
      </w:divBdr>
    </w:div>
    <w:div w:id="2020309645">
      <w:marLeft w:val="0"/>
      <w:marRight w:val="0"/>
      <w:marTop w:val="0"/>
      <w:marBottom w:val="0"/>
      <w:divBdr>
        <w:top w:val="none" w:sz="0" w:space="0" w:color="auto"/>
        <w:left w:val="none" w:sz="0" w:space="0" w:color="auto"/>
        <w:bottom w:val="none" w:sz="0" w:space="0" w:color="auto"/>
        <w:right w:val="none" w:sz="0" w:space="0" w:color="auto"/>
      </w:divBdr>
    </w:div>
    <w:div w:id="2020309646">
      <w:marLeft w:val="0"/>
      <w:marRight w:val="0"/>
      <w:marTop w:val="0"/>
      <w:marBottom w:val="0"/>
      <w:divBdr>
        <w:top w:val="none" w:sz="0" w:space="0" w:color="auto"/>
        <w:left w:val="none" w:sz="0" w:space="0" w:color="auto"/>
        <w:bottom w:val="none" w:sz="0" w:space="0" w:color="auto"/>
        <w:right w:val="none" w:sz="0" w:space="0" w:color="auto"/>
      </w:divBdr>
    </w:div>
    <w:div w:id="2020309647">
      <w:marLeft w:val="0"/>
      <w:marRight w:val="0"/>
      <w:marTop w:val="0"/>
      <w:marBottom w:val="0"/>
      <w:divBdr>
        <w:top w:val="none" w:sz="0" w:space="0" w:color="auto"/>
        <w:left w:val="none" w:sz="0" w:space="0" w:color="auto"/>
        <w:bottom w:val="none" w:sz="0" w:space="0" w:color="auto"/>
        <w:right w:val="none" w:sz="0" w:space="0" w:color="auto"/>
      </w:divBdr>
    </w:div>
    <w:div w:id="2020309648">
      <w:marLeft w:val="0"/>
      <w:marRight w:val="0"/>
      <w:marTop w:val="0"/>
      <w:marBottom w:val="0"/>
      <w:divBdr>
        <w:top w:val="none" w:sz="0" w:space="0" w:color="auto"/>
        <w:left w:val="none" w:sz="0" w:space="0" w:color="auto"/>
        <w:bottom w:val="none" w:sz="0" w:space="0" w:color="auto"/>
        <w:right w:val="none" w:sz="0" w:space="0" w:color="auto"/>
      </w:divBdr>
    </w:div>
    <w:div w:id="2020309649">
      <w:marLeft w:val="0"/>
      <w:marRight w:val="0"/>
      <w:marTop w:val="0"/>
      <w:marBottom w:val="0"/>
      <w:divBdr>
        <w:top w:val="none" w:sz="0" w:space="0" w:color="auto"/>
        <w:left w:val="none" w:sz="0" w:space="0" w:color="auto"/>
        <w:bottom w:val="none" w:sz="0" w:space="0" w:color="auto"/>
        <w:right w:val="none" w:sz="0" w:space="0" w:color="auto"/>
      </w:divBdr>
    </w:div>
    <w:div w:id="2020309650">
      <w:marLeft w:val="0"/>
      <w:marRight w:val="0"/>
      <w:marTop w:val="0"/>
      <w:marBottom w:val="0"/>
      <w:divBdr>
        <w:top w:val="none" w:sz="0" w:space="0" w:color="auto"/>
        <w:left w:val="none" w:sz="0" w:space="0" w:color="auto"/>
        <w:bottom w:val="none" w:sz="0" w:space="0" w:color="auto"/>
        <w:right w:val="none" w:sz="0" w:space="0" w:color="auto"/>
      </w:divBdr>
    </w:div>
    <w:div w:id="2020309651">
      <w:marLeft w:val="0"/>
      <w:marRight w:val="0"/>
      <w:marTop w:val="0"/>
      <w:marBottom w:val="0"/>
      <w:divBdr>
        <w:top w:val="none" w:sz="0" w:space="0" w:color="auto"/>
        <w:left w:val="none" w:sz="0" w:space="0" w:color="auto"/>
        <w:bottom w:val="none" w:sz="0" w:space="0" w:color="auto"/>
        <w:right w:val="none" w:sz="0" w:space="0" w:color="auto"/>
      </w:divBdr>
    </w:div>
    <w:div w:id="2020309652">
      <w:marLeft w:val="0"/>
      <w:marRight w:val="0"/>
      <w:marTop w:val="0"/>
      <w:marBottom w:val="0"/>
      <w:divBdr>
        <w:top w:val="none" w:sz="0" w:space="0" w:color="auto"/>
        <w:left w:val="none" w:sz="0" w:space="0" w:color="auto"/>
        <w:bottom w:val="none" w:sz="0" w:space="0" w:color="auto"/>
        <w:right w:val="none" w:sz="0" w:space="0" w:color="auto"/>
      </w:divBdr>
    </w:div>
    <w:div w:id="2020309653">
      <w:marLeft w:val="0"/>
      <w:marRight w:val="0"/>
      <w:marTop w:val="0"/>
      <w:marBottom w:val="0"/>
      <w:divBdr>
        <w:top w:val="none" w:sz="0" w:space="0" w:color="auto"/>
        <w:left w:val="none" w:sz="0" w:space="0" w:color="auto"/>
        <w:bottom w:val="none" w:sz="0" w:space="0" w:color="auto"/>
        <w:right w:val="none" w:sz="0" w:space="0" w:color="auto"/>
      </w:divBdr>
    </w:div>
    <w:div w:id="2020309654">
      <w:marLeft w:val="0"/>
      <w:marRight w:val="0"/>
      <w:marTop w:val="0"/>
      <w:marBottom w:val="0"/>
      <w:divBdr>
        <w:top w:val="none" w:sz="0" w:space="0" w:color="auto"/>
        <w:left w:val="none" w:sz="0" w:space="0" w:color="auto"/>
        <w:bottom w:val="none" w:sz="0" w:space="0" w:color="auto"/>
        <w:right w:val="none" w:sz="0" w:space="0" w:color="auto"/>
      </w:divBdr>
    </w:div>
    <w:div w:id="2020309655">
      <w:marLeft w:val="0"/>
      <w:marRight w:val="0"/>
      <w:marTop w:val="0"/>
      <w:marBottom w:val="0"/>
      <w:divBdr>
        <w:top w:val="none" w:sz="0" w:space="0" w:color="auto"/>
        <w:left w:val="none" w:sz="0" w:space="0" w:color="auto"/>
        <w:bottom w:val="none" w:sz="0" w:space="0" w:color="auto"/>
        <w:right w:val="none" w:sz="0" w:space="0" w:color="auto"/>
      </w:divBdr>
    </w:div>
    <w:div w:id="2020309656">
      <w:marLeft w:val="0"/>
      <w:marRight w:val="0"/>
      <w:marTop w:val="0"/>
      <w:marBottom w:val="0"/>
      <w:divBdr>
        <w:top w:val="none" w:sz="0" w:space="0" w:color="auto"/>
        <w:left w:val="none" w:sz="0" w:space="0" w:color="auto"/>
        <w:bottom w:val="none" w:sz="0" w:space="0" w:color="auto"/>
        <w:right w:val="none" w:sz="0" w:space="0" w:color="auto"/>
      </w:divBdr>
    </w:div>
    <w:div w:id="2020309658">
      <w:marLeft w:val="0"/>
      <w:marRight w:val="0"/>
      <w:marTop w:val="0"/>
      <w:marBottom w:val="0"/>
      <w:divBdr>
        <w:top w:val="none" w:sz="0" w:space="0" w:color="auto"/>
        <w:left w:val="none" w:sz="0" w:space="0" w:color="auto"/>
        <w:bottom w:val="none" w:sz="0" w:space="0" w:color="auto"/>
        <w:right w:val="none" w:sz="0" w:space="0" w:color="auto"/>
      </w:divBdr>
    </w:div>
    <w:div w:id="2020309659">
      <w:marLeft w:val="0"/>
      <w:marRight w:val="0"/>
      <w:marTop w:val="0"/>
      <w:marBottom w:val="0"/>
      <w:divBdr>
        <w:top w:val="none" w:sz="0" w:space="0" w:color="auto"/>
        <w:left w:val="none" w:sz="0" w:space="0" w:color="auto"/>
        <w:bottom w:val="none" w:sz="0" w:space="0" w:color="auto"/>
        <w:right w:val="none" w:sz="0" w:space="0" w:color="auto"/>
      </w:divBdr>
    </w:div>
    <w:div w:id="2020309661">
      <w:marLeft w:val="0"/>
      <w:marRight w:val="0"/>
      <w:marTop w:val="0"/>
      <w:marBottom w:val="0"/>
      <w:divBdr>
        <w:top w:val="none" w:sz="0" w:space="0" w:color="auto"/>
        <w:left w:val="none" w:sz="0" w:space="0" w:color="auto"/>
        <w:bottom w:val="none" w:sz="0" w:space="0" w:color="auto"/>
        <w:right w:val="none" w:sz="0" w:space="0" w:color="auto"/>
      </w:divBdr>
    </w:div>
    <w:div w:id="2020309664">
      <w:marLeft w:val="0"/>
      <w:marRight w:val="0"/>
      <w:marTop w:val="0"/>
      <w:marBottom w:val="0"/>
      <w:divBdr>
        <w:top w:val="none" w:sz="0" w:space="0" w:color="auto"/>
        <w:left w:val="none" w:sz="0" w:space="0" w:color="auto"/>
        <w:bottom w:val="none" w:sz="0" w:space="0" w:color="auto"/>
        <w:right w:val="none" w:sz="0" w:space="0" w:color="auto"/>
      </w:divBdr>
    </w:div>
    <w:div w:id="2020309666">
      <w:marLeft w:val="0"/>
      <w:marRight w:val="0"/>
      <w:marTop w:val="0"/>
      <w:marBottom w:val="0"/>
      <w:divBdr>
        <w:top w:val="none" w:sz="0" w:space="0" w:color="auto"/>
        <w:left w:val="none" w:sz="0" w:space="0" w:color="auto"/>
        <w:bottom w:val="none" w:sz="0" w:space="0" w:color="auto"/>
        <w:right w:val="none" w:sz="0" w:space="0" w:color="auto"/>
      </w:divBdr>
    </w:div>
    <w:div w:id="2020309668">
      <w:marLeft w:val="0"/>
      <w:marRight w:val="0"/>
      <w:marTop w:val="0"/>
      <w:marBottom w:val="0"/>
      <w:divBdr>
        <w:top w:val="none" w:sz="0" w:space="0" w:color="auto"/>
        <w:left w:val="none" w:sz="0" w:space="0" w:color="auto"/>
        <w:bottom w:val="none" w:sz="0" w:space="0" w:color="auto"/>
        <w:right w:val="none" w:sz="0" w:space="0" w:color="auto"/>
      </w:divBdr>
    </w:div>
    <w:div w:id="2020309669">
      <w:marLeft w:val="0"/>
      <w:marRight w:val="0"/>
      <w:marTop w:val="0"/>
      <w:marBottom w:val="0"/>
      <w:divBdr>
        <w:top w:val="none" w:sz="0" w:space="0" w:color="auto"/>
        <w:left w:val="none" w:sz="0" w:space="0" w:color="auto"/>
        <w:bottom w:val="none" w:sz="0" w:space="0" w:color="auto"/>
        <w:right w:val="none" w:sz="0" w:space="0" w:color="auto"/>
      </w:divBdr>
    </w:div>
    <w:div w:id="2020309670">
      <w:marLeft w:val="0"/>
      <w:marRight w:val="0"/>
      <w:marTop w:val="0"/>
      <w:marBottom w:val="0"/>
      <w:divBdr>
        <w:top w:val="none" w:sz="0" w:space="0" w:color="auto"/>
        <w:left w:val="none" w:sz="0" w:space="0" w:color="auto"/>
        <w:bottom w:val="none" w:sz="0" w:space="0" w:color="auto"/>
        <w:right w:val="none" w:sz="0" w:space="0" w:color="auto"/>
      </w:divBdr>
    </w:div>
    <w:div w:id="2020309671">
      <w:marLeft w:val="0"/>
      <w:marRight w:val="0"/>
      <w:marTop w:val="0"/>
      <w:marBottom w:val="0"/>
      <w:divBdr>
        <w:top w:val="none" w:sz="0" w:space="0" w:color="auto"/>
        <w:left w:val="none" w:sz="0" w:space="0" w:color="auto"/>
        <w:bottom w:val="none" w:sz="0" w:space="0" w:color="auto"/>
        <w:right w:val="none" w:sz="0" w:space="0" w:color="auto"/>
      </w:divBdr>
    </w:div>
    <w:div w:id="2020309672">
      <w:marLeft w:val="0"/>
      <w:marRight w:val="0"/>
      <w:marTop w:val="0"/>
      <w:marBottom w:val="0"/>
      <w:divBdr>
        <w:top w:val="none" w:sz="0" w:space="0" w:color="auto"/>
        <w:left w:val="none" w:sz="0" w:space="0" w:color="auto"/>
        <w:bottom w:val="none" w:sz="0" w:space="0" w:color="auto"/>
        <w:right w:val="none" w:sz="0" w:space="0" w:color="auto"/>
      </w:divBdr>
    </w:div>
    <w:div w:id="2020309674">
      <w:marLeft w:val="0"/>
      <w:marRight w:val="0"/>
      <w:marTop w:val="0"/>
      <w:marBottom w:val="0"/>
      <w:divBdr>
        <w:top w:val="none" w:sz="0" w:space="0" w:color="auto"/>
        <w:left w:val="none" w:sz="0" w:space="0" w:color="auto"/>
        <w:bottom w:val="none" w:sz="0" w:space="0" w:color="auto"/>
        <w:right w:val="none" w:sz="0" w:space="0" w:color="auto"/>
      </w:divBdr>
    </w:div>
    <w:div w:id="2020309676">
      <w:marLeft w:val="0"/>
      <w:marRight w:val="0"/>
      <w:marTop w:val="0"/>
      <w:marBottom w:val="0"/>
      <w:divBdr>
        <w:top w:val="none" w:sz="0" w:space="0" w:color="auto"/>
        <w:left w:val="none" w:sz="0" w:space="0" w:color="auto"/>
        <w:bottom w:val="none" w:sz="0" w:space="0" w:color="auto"/>
        <w:right w:val="none" w:sz="0" w:space="0" w:color="auto"/>
      </w:divBdr>
    </w:div>
    <w:div w:id="2020309678">
      <w:marLeft w:val="0"/>
      <w:marRight w:val="0"/>
      <w:marTop w:val="0"/>
      <w:marBottom w:val="0"/>
      <w:divBdr>
        <w:top w:val="none" w:sz="0" w:space="0" w:color="auto"/>
        <w:left w:val="none" w:sz="0" w:space="0" w:color="auto"/>
        <w:bottom w:val="none" w:sz="0" w:space="0" w:color="auto"/>
        <w:right w:val="none" w:sz="0" w:space="0" w:color="auto"/>
      </w:divBdr>
    </w:div>
    <w:div w:id="2020309680">
      <w:marLeft w:val="0"/>
      <w:marRight w:val="0"/>
      <w:marTop w:val="0"/>
      <w:marBottom w:val="0"/>
      <w:divBdr>
        <w:top w:val="none" w:sz="0" w:space="0" w:color="auto"/>
        <w:left w:val="none" w:sz="0" w:space="0" w:color="auto"/>
        <w:bottom w:val="none" w:sz="0" w:space="0" w:color="auto"/>
        <w:right w:val="none" w:sz="0" w:space="0" w:color="auto"/>
      </w:divBdr>
    </w:div>
    <w:div w:id="2020309681">
      <w:marLeft w:val="0"/>
      <w:marRight w:val="0"/>
      <w:marTop w:val="0"/>
      <w:marBottom w:val="0"/>
      <w:divBdr>
        <w:top w:val="none" w:sz="0" w:space="0" w:color="auto"/>
        <w:left w:val="none" w:sz="0" w:space="0" w:color="auto"/>
        <w:bottom w:val="none" w:sz="0" w:space="0" w:color="auto"/>
        <w:right w:val="none" w:sz="0" w:space="0" w:color="auto"/>
      </w:divBdr>
    </w:div>
    <w:div w:id="2020309682">
      <w:marLeft w:val="0"/>
      <w:marRight w:val="0"/>
      <w:marTop w:val="0"/>
      <w:marBottom w:val="0"/>
      <w:divBdr>
        <w:top w:val="none" w:sz="0" w:space="0" w:color="auto"/>
        <w:left w:val="none" w:sz="0" w:space="0" w:color="auto"/>
        <w:bottom w:val="none" w:sz="0" w:space="0" w:color="auto"/>
        <w:right w:val="none" w:sz="0" w:space="0" w:color="auto"/>
      </w:divBdr>
    </w:div>
    <w:div w:id="2020309683">
      <w:marLeft w:val="0"/>
      <w:marRight w:val="0"/>
      <w:marTop w:val="0"/>
      <w:marBottom w:val="0"/>
      <w:divBdr>
        <w:top w:val="none" w:sz="0" w:space="0" w:color="auto"/>
        <w:left w:val="none" w:sz="0" w:space="0" w:color="auto"/>
        <w:bottom w:val="none" w:sz="0" w:space="0" w:color="auto"/>
        <w:right w:val="none" w:sz="0" w:space="0" w:color="auto"/>
      </w:divBdr>
    </w:div>
    <w:div w:id="2020309685">
      <w:marLeft w:val="0"/>
      <w:marRight w:val="0"/>
      <w:marTop w:val="0"/>
      <w:marBottom w:val="0"/>
      <w:divBdr>
        <w:top w:val="none" w:sz="0" w:space="0" w:color="auto"/>
        <w:left w:val="none" w:sz="0" w:space="0" w:color="auto"/>
        <w:bottom w:val="none" w:sz="0" w:space="0" w:color="auto"/>
        <w:right w:val="none" w:sz="0" w:space="0" w:color="auto"/>
      </w:divBdr>
    </w:div>
    <w:div w:id="2020309686">
      <w:marLeft w:val="0"/>
      <w:marRight w:val="0"/>
      <w:marTop w:val="0"/>
      <w:marBottom w:val="0"/>
      <w:divBdr>
        <w:top w:val="none" w:sz="0" w:space="0" w:color="auto"/>
        <w:left w:val="none" w:sz="0" w:space="0" w:color="auto"/>
        <w:bottom w:val="none" w:sz="0" w:space="0" w:color="auto"/>
        <w:right w:val="none" w:sz="0" w:space="0" w:color="auto"/>
      </w:divBdr>
      <w:divsChild>
        <w:div w:id="2020309690">
          <w:marLeft w:val="0"/>
          <w:marRight w:val="0"/>
          <w:marTop w:val="0"/>
          <w:marBottom w:val="0"/>
          <w:divBdr>
            <w:top w:val="none" w:sz="0" w:space="0" w:color="auto"/>
            <w:left w:val="none" w:sz="0" w:space="0" w:color="auto"/>
            <w:bottom w:val="none" w:sz="0" w:space="0" w:color="auto"/>
            <w:right w:val="none" w:sz="0" w:space="0" w:color="auto"/>
          </w:divBdr>
          <w:divsChild>
            <w:div w:id="2020309657">
              <w:marLeft w:val="0"/>
              <w:marRight w:val="0"/>
              <w:marTop w:val="0"/>
              <w:marBottom w:val="0"/>
              <w:divBdr>
                <w:top w:val="none" w:sz="0" w:space="0" w:color="auto"/>
                <w:left w:val="none" w:sz="0" w:space="0" w:color="auto"/>
                <w:bottom w:val="none" w:sz="0" w:space="0" w:color="auto"/>
                <w:right w:val="none" w:sz="0" w:space="0" w:color="auto"/>
              </w:divBdr>
            </w:div>
            <w:div w:id="2020309660">
              <w:marLeft w:val="0"/>
              <w:marRight w:val="0"/>
              <w:marTop w:val="0"/>
              <w:marBottom w:val="0"/>
              <w:divBdr>
                <w:top w:val="none" w:sz="0" w:space="0" w:color="auto"/>
                <w:left w:val="none" w:sz="0" w:space="0" w:color="auto"/>
                <w:bottom w:val="none" w:sz="0" w:space="0" w:color="auto"/>
                <w:right w:val="none" w:sz="0" w:space="0" w:color="auto"/>
              </w:divBdr>
            </w:div>
            <w:div w:id="2020309662">
              <w:marLeft w:val="0"/>
              <w:marRight w:val="0"/>
              <w:marTop w:val="0"/>
              <w:marBottom w:val="0"/>
              <w:divBdr>
                <w:top w:val="none" w:sz="0" w:space="0" w:color="auto"/>
                <w:left w:val="none" w:sz="0" w:space="0" w:color="auto"/>
                <w:bottom w:val="none" w:sz="0" w:space="0" w:color="auto"/>
                <w:right w:val="none" w:sz="0" w:space="0" w:color="auto"/>
              </w:divBdr>
            </w:div>
            <w:div w:id="2020309663">
              <w:marLeft w:val="0"/>
              <w:marRight w:val="0"/>
              <w:marTop w:val="0"/>
              <w:marBottom w:val="0"/>
              <w:divBdr>
                <w:top w:val="none" w:sz="0" w:space="0" w:color="auto"/>
                <w:left w:val="none" w:sz="0" w:space="0" w:color="auto"/>
                <w:bottom w:val="none" w:sz="0" w:space="0" w:color="auto"/>
                <w:right w:val="none" w:sz="0" w:space="0" w:color="auto"/>
              </w:divBdr>
            </w:div>
            <w:div w:id="2020309665">
              <w:marLeft w:val="0"/>
              <w:marRight w:val="0"/>
              <w:marTop w:val="0"/>
              <w:marBottom w:val="0"/>
              <w:divBdr>
                <w:top w:val="none" w:sz="0" w:space="0" w:color="auto"/>
                <w:left w:val="none" w:sz="0" w:space="0" w:color="auto"/>
                <w:bottom w:val="none" w:sz="0" w:space="0" w:color="auto"/>
                <w:right w:val="none" w:sz="0" w:space="0" w:color="auto"/>
              </w:divBdr>
            </w:div>
            <w:div w:id="2020309667">
              <w:marLeft w:val="0"/>
              <w:marRight w:val="0"/>
              <w:marTop w:val="0"/>
              <w:marBottom w:val="0"/>
              <w:divBdr>
                <w:top w:val="none" w:sz="0" w:space="0" w:color="auto"/>
                <w:left w:val="none" w:sz="0" w:space="0" w:color="auto"/>
                <w:bottom w:val="none" w:sz="0" w:space="0" w:color="auto"/>
                <w:right w:val="none" w:sz="0" w:space="0" w:color="auto"/>
              </w:divBdr>
            </w:div>
            <w:div w:id="2020309673">
              <w:marLeft w:val="0"/>
              <w:marRight w:val="0"/>
              <w:marTop w:val="0"/>
              <w:marBottom w:val="0"/>
              <w:divBdr>
                <w:top w:val="none" w:sz="0" w:space="0" w:color="auto"/>
                <w:left w:val="none" w:sz="0" w:space="0" w:color="auto"/>
                <w:bottom w:val="none" w:sz="0" w:space="0" w:color="auto"/>
                <w:right w:val="none" w:sz="0" w:space="0" w:color="auto"/>
              </w:divBdr>
            </w:div>
            <w:div w:id="2020309675">
              <w:marLeft w:val="0"/>
              <w:marRight w:val="0"/>
              <w:marTop w:val="0"/>
              <w:marBottom w:val="0"/>
              <w:divBdr>
                <w:top w:val="none" w:sz="0" w:space="0" w:color="auto"/>
                <w:left w:val="none" w:sz="0" w:space="0" w:color="auto"/>
                <w:bottom w:val="none" w:sz="0" w:space="0" w:color="auto"/>
                <w:right w:val="none" w:sz="0" w:space="0" w:color="auto"/>
              </w:divBdr>
            </w:div>
            <w:div w:id="2020309677">
              <w:marLeft w:val="0"/>
              <w:marRight w:val="0"/>
              <w:marTop w:val="0"/>
              <w:marBottom w:val="0"/>
              <w:divBdr>
                <w:top w:val="none" w:sz="0" w:space="0" w:color="auto"/>
                <w:left w:val="none" w:sz="0" w:space="0" w:color="auto"/>
                <w:bottom w:val="none" w:sz="0" w:space="0" w:color="auto"/>
                <w:right w:val="none" w:sz="0" w:space="0" w:color="auto"/>
              </w:divBdr>
            </w:div>
            <w:div w:id="2020309679">
              <w:marLeft w:val="0"/>
              <w:marRight w:val="0"/>
              <w:marTop w:val="0"/>
              <w:marBottom w:val="0"/>
              <w:divBdr>
                <w:top w:val="none" w:sz="0" w:space="0" w:color="auto"/>
                <w:left w:val="none" w:sz="0" w:space="0" w:color="auto"/>
                <w:bottom w:val="none" w:sz="0" w:space="0" w:color="auto"/>
                <w:right w:val="none" w:sz="0" w:space="0" w:color="auto"/>
              </w:divBdr>
            </w:div>
            <w:div w:id="2020309684">
              <w:marLeft w:val="0"/>
              <w:marRight w:val="0"/>
              <w:marTop w:val="0"/>
              <w:marBottom w:val="0"/>
              <w:divBdr>
                <w:top w:val="none" w:sz="0" w:space="0" w:color="auto"/>
                <w:left w:val="none" w:sz="0" w:space="0" w:color="auto"/>
                <w:bottom w:val="none" w:sz="0" w:space="0" w:color="auto"/>
                <w:right w:val="none" w:sz="0" w:space="0" w:color="auto"/>
              </w:divBdr>
            </w:div>
            <w:div w:id="2020309689">
              <w:marLeft w:val="0"/>
              <w:marRight w:val="0"/>
              <w:marTop w:val="0"/>
              <w:marBottom w:val="0"/>
              <w:divBdr>
                <w:top w:val="none" w:sz="0" w:space="0" w:color="auto"/>
                <w:left w:val="none" w:sz="0" w:space="0" w:color="auto"/>
                <w:bottom w:val="none" w:sz="0" w:space="0" w:color="auto"/>
                <w:right w:val="none" w:sz="0" w:space="0" w:color="auto"/>
              </w:divBdr>
            </w:div>
            <w:div w:id="20203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9687">
      <w:marLeft w:val="0"/>
      <w:marRight w:val="0"/>
      <w:marTop w:val="0"/>
      <w:marBottom w:val="0"/>
      <w:divBdr>
        <w:top w:val="none" w:sz="0" w:space="0" w:color="auto"/>
        <w:left w:val="none" w:sz="0" w:space="0" w:color="auto"/>
        <w:bottom w:val="none" w:sz="0" w:space="0" w:color="auto"/>
        <w:right w:val="none" w:sz="0" w:space="0" w:color="auto"/>
      </w:divBdr>
    </w:div>
    <w:div w:id="2020309688">
      <w:marLeft w:val="0"/>
      <w:marRight w:val="0"/>
      <w:marTop w:val="0"/>
      <w:marBottom w:val="0"/>
      <w:divBdr>
        <w:top w:val="none" w:sz="0" w:space="0" w:color="auto"/>
        <w:left w:val="none" w:sz="0" w:space="0" w:color="auto"/>
        <w:bottom w:val="none" w:sz="0" w:space="0" w:color="auto"/>
        <w:right w:val="none" w:sz="0" w:space="0" w:color="auto"/>
      </w:divBdr>
    </w:div>
    <w:div w:id="2020309692">
      <w:marLeft w:val="0"/>
      <w:marRight w:val="0"/>
      <w:marTop w:val="0"/>
      <w:marBottom w:val="0"/>
      <w:divBdr>
        <w:top w:val="none" w:sz="0" w:space="0" w:color="auto"/>
        <w:left w:val="none" w:sz="0" w:space="0" w:color="auto"/>
        <w:bottom w:val="none" w:sz="0" w:space="0" w:color="auto"/>
        <w:right w:val="none" w:sz="0" w:space="0" w:color="auto"/>
      </w:divBdr>
    </w:div>
    <w:div w:id="2020309693">
      <w:marLeft w:val="0"/>
      <w:marRight w:val="0"/>
      <w:marTop w:val="0"/>
      <w:marBottom w:val="0"/>
      <w:divBdr>
        <w:top w:val="none" w:sz="0" w:space="0" w:color="auto"/>
        <w:left w:val="none" w:sz="0" w:space="0" w:color="auto"/>
        <w:bottom w:val="none" w:sz="0" w:space="0" w:color="auto"/>
        <w:right w:val="none" w:sz="0" w:space="0" w:color="auto"/>
      </w:divBdr>
    </w:div>
    <w:div w:id="2020309694">
      <w:marLeft w:val="0"/>
      <w:marRight w:val="0"/>
      <w:marTop w:val="0"/>
      <w:marBottom w:val="0"/>
      <w:divBdr>
        <w:top w:val="none" w:sz="0" w:space="0" w:color="auto"/>
        <w:left w:val="none" w:sz="0" w:space="0" w:color="auto"/>
        <w:bottom w:val="none" w:sz="0" w:space="0" w:color="auto"/>
        <w:right w:val="none" w:sz="0" w:space="0" w:color="auto"/>
      </w:divBdr>
    </w:div>
    <w:div w:id="2020309695">
      <w:marLeft w:val="0"/>
      <w:marRight w:val="0"/>
      <w:marTop w:val="0"/>
      <w:marBottom w:val="0"/>
      <w:divBdr>
        <w:top w:val="none" w:sz="0" w:space="0" w:color="auto"/>
        <w:left w:val="none" w:sz="0" w:space="0" w:color="auto"/>
        <w:bottom w:val="none" w:sz="0" w:space="0" w:color="auto"/>
        <w:right w:val="none" w:sz="0" w:space="0" w:color="auto"/>
      </w:divBdr>
    </w:div>
    <w:div w:id="2020309696">
      <w:marLeft w:val="0"/>
      <w:marRight w:val="0"/>
      <w:marTop w:val="0"/>
      <w:marBottom w:val="0"/>
      <w:divBdr>
        <w:top w:val="none" w:sz="0" w:space="0" w:color="auto"/>
        <w:left w:val="none" w:sz="0" w:space="0" w:color="auto"/>
        <w:bottom w:val="none" w:sz="0" w:space="0" w:color="auto"/>
        <w:right w:val="none" w:sz="0" w:space="0" w:color="auto"/>
      </w:divBdr>
    </w:div>
    <w:div w:id="2020309697">
      <w:marLeft w:val="0"/>
      <w:marRight w:val="0"/>
      <w:marTop w:val="0"/>
      <w:marBottom w:val="0"/>
      <w:divBdr>
        <w:top w:val="none" w:sz="0" w:space="0" w:color="auto"/>
        <w:left w:val="none" w:sz="0" w:space="0" w:color="auto"/>
        <w:bottom w:val="none" w:sz="0" w:space="0" w:color="auto"/>
        <w:right w:val="none" w:sz="0" w:space="0" w:color="auto"/>
      </w:divBdr>
    </w:div>
    <w:div w:id="2020309698">
      <w:marLeft w:val="0"/>
      <w:marRight w:val="0"/>
      <w:marTop w:val="0"/>
      <w:marBottom w:val="0"/>
      <w:divBdr>
        <w:top w:val="none" w:sz="0" w:space="0" w:color="auto"/>
        <w:left w:val="none" w:sz="0" w:space="0" w:color="auto"/>
        <w:bottom w:val="none" w:sz="0" w:space="0" w:color="auto"/>
        <w:right w:val="none" w:sz="0" w:space="0" w:color="auto"/>
      </w:divBdr>
    </w:div>
    <w:div w:id="2020309699">
      <w:marLeft w:val="0"/>
      <w:marRight w:val="0"/>
      <w:marTop w:val="0"/>
      <w:marBottom w:val="0"/>
      <w:divBdr>
        <w:top w:val="none" w:sz="0" w:space="0" w:color="auto"/>
        <w:left w:val="none" w:sz="0" w:space="0" w:color="auto"/>
        <w:bottom w:val="none" w:sz="0" w:space="0" w:color="auto"/>
        <w:right w:val="none" w:sz="0" w:space="0" w:color="auto"/>
      </w:divBdr>
    </w:div>
    <w:div w:id="2020309700">
      <w:marLeft w:val="0"/>
      <w:marRight w:val="0"/>
      <w:marTop w:val="0"/>
      <w:marBottom w:val="0"/>
      <w:divBdr>
        <w:top w:val="none" w:sz="0" w:space="0" w:color="auto"/>
        <w:left w:val="none" w:sz="0" w:space="0" w:color="auto"/>
        <w:bottom w:val="none" w:sz="0" w:space="0" w:color="auto"/>
        <w:right w:val="none" w:sz="0" w:space="0" w:color="auto"/>
      </w:divBdr>
    </w:div>
    <w:div w:id="2020309701">
      <w:marLeft w:val="0"/>
      <w:marRight w:val="0"/>
      <w:marTop w:val="0"/>
      <w:marBottom w:val="0"/>
      <w:divBdr>
        <w:top w:val="none" w:sz="0" w:space="0" w:color="auto"/>
        <w:left w:val="none" w:sz="0" w:space="0" w:color="auto"/>
        <w:bottom w:val="none" w:sz="0" w:space="0" w:color="auto"/>
        <w:right w:val="none" w:sz="0" w:space="0" w:color="auto"/>
      </w:divBdr>
    </w:div>
    <w:div w:id="2020309702">
      <w:marLeft w:val="0"/>
      <w:marRight w:val="0"/>
      <w:marTop w:val="0"/>
      <w:marBottom w:val="0"/>
      <w:divBdr>
        <w:top w:val="none" w:sz="0" w:space="0" w:color="auto"/>
        <w:left w:val="none" w:sz="0" w:space="0" w:color="auto"/>
        <w:bottom w:val="none" w:sz="0" w:space="0" w:color="auto"/>
        <w:right w:val="none" w:sz="0" w:space="0" w:color="auto"/>
      </w:divBdr>
    </w:div>
    <w:div w:id="2020309703">
      <w:marLeft w:val="0"/>
      <w:marRight w:val="0"/>
      <w:marTop w:val="0"/>
      <w:marBottom w:val="0"/>
      <w:divBdr>
        <w:top w:val="none" w:sz="0" w:space="0" w:color="auto"/>
        <w:left w:val="none" w:sz="0" w:space="0" w:color="auto"/>
        <w:bottom w:val="none" w:sz="0" w:space="0" w:color="auto"/>
        <w:right w:val="none" w:sz="0" w:space="0" w:color="auto"/>
      </w:divBdr>
    </w:div>
    <w:div w:id="2020309704">
      <w:marLeft w:val="0"/>
      <w:marRight w:val="0"/>
      <w:marTop w:val="0"/>
      <w:marBottom w:val="0"/>
      <w:divBdr>
        <w:top w:val="none" w:sz="0" w:space="0" w:color="auto"/>
        <w:left w:val="none" w:sz="0" w:space="0" w:color="auto"/>
        <w:bottom w:val="none" w:sz="0" w:space="0" w:color="auto"/>
        <w:right w:val="none" w:sz="0" w:space="0" w:color="auto"/>
      </w:divBdr>
    </w:div>
    <w:div w:id="2020309705">
      <w:marLeft w:val="0"/>
      <w:marRight w:val="0"/>
      <w:marTop w:val="0"/>
      <w:marBottom w:val="0"/>
      <w:divBdr>
        <w:top w:val="none" w:sz="0" w:space="0" w:color="auto"/>
        <w:left w:val="none" w:sz="0" w:space="0" w:color="auto"/>
        <w:bottom w:val="none" w:sz="0" w:space="0" w:color="auto"/>
        <w:right w:val="none" w:sz="0" w:space="0" w:color="auto"/>
      </w:divBdr>
    </w:div>
    <w:div w:id="2020309706">
      <w:marLeft w:val="0"/>
      <w:marRight w:val="0"/>
      <w:marTop w:val="0"/>
      <w:marBottom w:val="0"/>
      <w:divBdr>
        <w:top w:val="none" w:sz="0" w:space="0" w:color="auto"/>
        <w:left w:val="none" w:sz="0" w:space="0" w:color="auto"/>
        <w:bottom w:val="none" w:sz="0" w:space="0" w:color="auto"/>
        <w:right w:val="none" w:sz="0" w:space="0" w:color="auto"/>
      </w:divBdr>
    </w:div>
    <w:div w:id="2020309707">
      <w:marLeft w:val="0"/>
      <w:marRight w:val="0"/>
      <w:marTop w:val="0"/>
      <w:marBottom w:val="0"/>
      <w:divBdr>
        <w:top w:val="none" w:sz="0" w:space="0" w:color="auto"/>
        <w:left w:val="none" w:sz="0" w:space="0" w:color="auto"/>
        <w:bottom w:val="none" w:sz="0" w:space="0" w:color="auto"/>
        <w:right w:val="none" w:sz="0" w:space="0" w:color="auto"/>
      </w:divBdr>
    </w:div>
    <w:div w:id="2020309708">
      <w:marLeft w:val="0"/>
      <w:marRight w:val="0"/>
      <w:marTop w:val="0"/>
      <w:marBottom w:val="0"/>
      <w:divBdr>
        <w:top w:val="none" w:sz="0" w:space="0" w:color="auto"/>
        <w:left w:val="none" w:sz="0" w:space="0" w:color="auto"/>
        <w:bottom w:val="none" w:sz="0" w:space="0" w:color="auto"/>
        <w:right w:val="none" w:sz="0" w:space="0" w:color="auto"/>
      </w:divBdr>
    </w:div>
    <w:div w:id="2020309709">
      <w:marLeft w:val="0"/>
      <w:marRight w:val="0"/>
      <w:marTop w:val="0"/>
      <w:marBottom w:val="0"/>
      <w:divBdr>
        <w:top w:val="none" w:sz="0" w:space="0" w:color="auto"/>
        <w:left w:val="none" w:sz="0" w:space="0" w:color="auto"/>
        <w:bottom w:val="none" w:sz="0" w:space="0" w:color="auto"/>
        <w:right w:val="none" w:sz="0" w:space="0" w:color="auto"/>
      </w:divBdr>
    </w:div>
    <w:div w:id="2020309710">
      <w:marLeft w:val="0"/>
      <w:marRight w:val="0"/>
      <w:marTop w:val="0"/>
      <w:marBottom w:val="0"/>
      <w:divBdr>
        <w:top w:val="none" w:sz="0" w:space="0" w:color="auto"/>
        <w:left w:val="none" w:sz="0" w:space="0" w:color="auto"/>
        <w:bottom w:val="none" w:sz="0" w:space="0" w:color="auto"/>
        <w:right w:val="none" w:sz="0" w:space="0" w:color="auto"/>
      </w:divBdr>
    </w:div>
    <w:div w:id="2020309711">
      <w:marLeft w:val="0"/>
      <w:marRight w:val="0"/>
      <w:marTop w:val="0"/>
      <w:marBottom w:val="0"/>
      <w:divBdr>
        <w:top w:val="none" w:sz="0" w:space="0" w:color="auto"/>
        <w:left w:val="none" w:sz="0" w:space="0" w:color="auto"/>
        <w:bottom w:val="none" w:sz="0" w:space="0" w:color="auto"/>
        <w:right w:val="none" w:sz="0" w:space="0" w:color="auto"/>
      </w:divBdr>
    </w:div>
    <w:div w:id="2020309712">
      <w:marLeft w:val="0"/>
      <w:marRight w:val="0"/>
      <w:marTop w:val="0"/>
      <w:marBottom w:val="0"/>
      <w:divBdr>
        <w:top w:val="none" w:sz="0" w:space="0" w:color="auto"/>
        <w:left w:val="none" w:sz="0" w:space="0" w:color="auto"/>
        <w:bottom w:val="none" w:sz="0" w:space="0" w:color="auto"/>
        <w:right w:val="none" w:sz="0" w:space="0" w:color="auto"/>
      </w:divBdr>
    </w:div>
    <w:div w:id="2020309713">
      <w:marLeft w:val="0"/>
      <w:marRight w:val="0"/>
      <w:marTop w:val="0"/>
      <w:marBottom w:val="0"/>
      <w:divBdr>
        <w:top w:val="none" w:sz="0" w:space="0" w:color="auto"/>
        <w:left w:val="none" w:sz="0" w:space="0" w:color="auto"/>
        <w:bottom w:val="none" w:sz="0" w:space="0" w:color="auto"/>
        <w:right w:val="none" w:sz="0" w:space="0" w:color="auto"/>
      </w:divBdr>
    </w:div>
    <w:div w:id="2020309714">
      <w:marLeft w:val="0"/>
      <w:marRight w:val="0"/>
      <w:marTop w:val="0"/>
      <w:marBottom w:val="0"/>
      <w:divBdr>
        <w:top w:val="none" w:sz="0" w:space="0" w:color="auto"/>
        <w:left w:val="none" w:sz="0" w:space="0" w:color="auto"/>
        <w:bottom w:val="none" w:sz="0" w:space="0" w:color="auto"/>
        <w:right w:val="none" w:sz="0" w:space="0" w:color="auto"/>
      </w:divBdr>
    </w:div>
    <w:div w:id="2020309715">
      <w:marLeft w:val="0"/>
      <w:marRight w:val="0"/>
      <w:marTop w:val="0"/>
      <w:marBottom w:val="0"/>
      <w:divBdr>
        <w:top w:val="none" w:sz="0" w:space="0" w:color="auto"/>
        <w:left w:val="none" w:sz="0" w:space="0" w:color="auto"/>
        <w:bottom w:val="none" w:sz="0" w:space="0" w:color="auto"/>
        <w:right w:val="none" w:sz="0" w:space="0" w:color="auto"/>
      </w:divBdr>
    </w:div>
    <w:div w:id="2020309716">
      <w:marLeft w:val="0"/>
      <w:marRight w:val="0"/>
      <w:marTop w:val="0"/>
      <w:marBottom w:val="0"/>
      <w:divBdr>
        <w:top w:val="none" w:sz="0" w:space="0" w:color="auto"/>
        <w:left w:val="none" w:sz="0" w:space="0" w:color="auto"/>
        <w:bottom w:val="none" w:sz="0" w:space="0" w:color="auto"/>
        <w:right w:val="none" w:sz="0" w:space="0" w:color="auto"/>
      </w:divBdr>
    </w:div>
    <w:div w:id="2020309717">
      <w:marLeft w:val="0"/>
      <w:marRight w:val="0"/>
      <w:marTop w:val="0"/>
      <w:marBottom w:val="0"/>
      <w:divBdr>
        <w:top w:val="none" w:sz="0" w:space="0" w:color="auto"/>
        <w:left w:val="none" w:sz="0" w:space="0" w:color="auto"/>
        <w:bottom w:val="none" w:sz="0" w:space="0" w:color="auto"/>
        <w:right w:val="none" w:sz="0" w:space="0" w:color="auto"/>
      </w:divBdr>
    </w:div>
    <w:div w:id="2020309718">
      <w:marLeft w:val="0"/>
      <w:marRight w:val="0"/>
      <w:marTop w:val="0"/>
      <w:marBottom w:val="0"/>
      <w:divBdr>
        <w:top w:val="none" w:sz="0" w:space="0" w:color="auto"/>
        <w:left w:val="none" w:sz="0" w:space="0" w:color="auto"/>
        <w:bottom w:val="none" w:sz="0" w:space="0" w:color="auto"/>
        <w:right w:val="none" w:sz="0" w:space="0" w:color="auto"/>
      </w:divBdr>
    </w:div>
    <w:div w:id="2020309719">
      <w:marLeft w:val="0"/>
      <w:marRight w:val="0"/>
      <w:marTop w:val="0"/>
      <w:marBottom w:val="0"/>
      <w:divBdr>
        <w:top w:val="none" w:sz="0" w:space="0" w:color="auto"/>
        <w:left w:val="none" w:sz="0" w:space="0" w:color="auto"/>
        <w:bottom w:val="none" w:sz="0" w:space="0" w:color="auto"/>
        <w:right w:val="none" w:sz="0" w:space="0" w:color="auto"/>
      </w:divBdr>
    </w:div>
    <w:div w:id="2020309720">
      <w:marLeft w:val="0"/>
      <w:marRight w:val="0"/>
      <w:marTop w:val="0"/>
      <w:marBottom w:val="0"/>
      <w:divBdr>
        <w:top w:val="none" w:sz="0" w:space="0" w:color="auto"/>
        <w:left w:val="none" w:sz="0" w:space="0" w:color="auto"/>
        <w:bottom w:val="none" w:sz="0" w:space="0" w:color="auto"/>
        <w:right w:val="none" w:sz="0" w:space="0" w:color="auto"/>
      </w:divBdr>
    </w:div>
    <w:div w:id="2020309721">
      <w:marLeft w:val="0"/>
      <w:marRight w:val="0"/>
      <w:marTop w:val="0"/>
      <w:marBottom w:val="0"/>
      <w:divBdr>
        <w:top w:val="none" w:sz="0" w:space="0" w:color="auto"/>
        <w:left w:val="none" w:sz="0" w:space="0" w:color="auto"/>
        <w:bottom w:val="none" w:sz="0" w:space="0" w:color="auto"/>
        <w:right w:val="none" w:sz="0" w:space="0" w:color="auto"/>
      </w:divBdr>
    </w:div>
    <w:div w:id="2020309722">
      <w:marLeft w:val="0"/>
      <w:marRight w:val="0"/>
      <w:marTop w:val="0"/>
      <w:marBottom w:val="0"/>
      <w:divBdr>
        <w:top w:val="none" w:sz="0" w:space="0" w:color="auto"/>
        <w:left w:val="none" w:sz="0" w:space="0" w:color="auto"/>
        <w:bottom w:val="none" w:sz="0" w:space="0" w:color="auto"/>
        <w:right w:val="none" w:sz="0" w:space="0" w:color="auto"/>
      </w:divBdr>
    </w:div>
    <w:div w:id="2020309723">
      <w:marLeft w:val="0"/>
      <w:marRight w:val="0"/>
      <w:marTop w:val="0"/>
      <w:marBottom w:val="0"/>
      <w:divBdr>
        <w:top w:val="none" w:sz="0" w:space="0" w:color="auto"/>
        <w:left w:val="none" w:sz="0" w:space="0" w:color="auto"/>
        <w:bottom w:val="none" w:sz="0" w:space="0" w:color="auto"/>
        <w:right w:val="none" w:sz="0" w:space="0" w:color="auto"/>
      </w:divBdr>
    </w:div>
    <w:div w:id="2020309724">
      <w:marLeft w:val="0"/>
      <w:marRight w:val="0"/>
      <w:marTop w:val="0"/>
      <w:marBottom w:val="0"/>
      <w:divBdr>
        <w:top w:val="none" w:sz="0" w:space="0" w:color="auto"/>
        <w:left w:val="none" w:sz="0" w:space="0" w:color="auto"/>
        <w:bottom w:val="none" w:sz="0" w:space="0" w:color="auto"/>
        <w:right w:val="none" w:sz="0" w:space="0" w:color="auto"/>
      </w:divBdr>
    </w:div>
    <w:div w:id="2020309725">
      <w:marLeft w:val="0"/>
      <w:marRight w:val="0"/>
      <w:marTop w:val="0"/>
      <w:marBottom w:val="0"/>
      <w:divBdr>
        <w:top w:val="none" w:sz="0" w:space="0" w:color="auto"/>
        <w:left w:val="none" w:sz="0" w:space="0" w:color="auto"/>
        <w:bottom w:val="none" w:sz="0" w:space="0" w:color="auto"/>
        <w:right w:val="none" w:sz="0" w:space="0" w:color="auto"/>
      </w:divBdr>
    </w:div>
    <w:div w:id="2020309726">
      <w:marLeft w:val="0"/>
      <w:marRight w:val="0"/>
      <w:marTop w:val="0"/>
      <w:marBottom w:val="0"/>
      <w:divBdr>
        <w:top w:val="none" w:sz="0" w:space="0" w:color="auto"/>
        <w:left w:val="none" w:sz="0" w:space="0" w:color="auto"/>
        <w:bottom w:val="none" w:sz="0" w:space="0" w:color="auto"/>
        <w:right w:val="none" w:sz="0" w:space="0" w:color="auto"/>
      </w:divBdr>
    </w:div>
    <w:div w:id="2020309727">
      <w:marLeft w:val="0"/>
      <w:marRight w:val="0"/>
      <w:marTop w:val="0"/>
      <w:marBottom w:val="0"/>
      <w:divBdr>
        <w:top w:val="none" w:sz="0" w:space="0" w:color="auto"/>
        <w:left w:val="none" w:sz="0" w:space="0" w:color="auto"/>
        <w:bottom w:val="none" w:sz="0" w:space="0" w:color="auto"/>
        <w:right w:val="none" w:sz="0" w:space="0" w:color="auto"/>
      </w:divBdr>
    </w:div>
    <w:div w:id="2020309728">
      <w:marLeft w:val="0"/>
      <w:marRight w:val="0"/>
      <w:marTop w:val="0"/>
      <w:marBottom w:val="0"/>
      <w:divBdr>
        <w:top w:val="none" w:sz="0" w:space="0" w:color="auto"/>
        <w:left w:val="none" w:sz="0" w:space="0" w:color="auto"/>
        <w:bottom w:val="none" w:sz="0" w:space="0" w:color="auto"/>
        <w:right w:val="none" w:sz="0" w:space="0" w:color="auto"/>
      </w:divBdr>
    </w:div>
    <w:div w:id="2020309729">
      <w:marLeft w:val="0"/>
      <w:marRight w:val="0"/>
      <w:marTop w:val="0"/>
      <w:marBottom w:val="0"/>
      <w:divBdr>
        <w:top w:val="none" w:sz="0" w:space="0" w:color="auto"/>
        <w:left w:val="none" w:sz="0" w:space="0" w:color="auto"/>
        <w:bottom w:val="none" w:sz="0" w:space="0" w:color="auto"/>
        <w:right w:val="none" w:sz="0" w:space="0" w:color="auto"/>
      </w:divBdr>
    </w:div>
    <w:div w:id="2020309730">
      <w:marLeft w:val="0"/>
      <w:marRight w:val="0"/>
      <w:marTop w:val="0"/>
      <w:marBottom w:val="0"/>
      <w:divBdr>
        <w:top w:val="none" w:sz="0" w:space="0" w:color="auto"/>
        <w:left w:val="none" w:sz="0" w:space="0" w:color="auto"/>
        <w:bottom w:val="none" w:sz="0" w:space="0" w:color="auto"/>
        <w:right w:val="none" w:sz="0" w:space="0" w:color="auto"/>
      </w:divBdr>
    </w:div>
    <w:div w:id="2020309731">
      <w:marLeft w:val="0"/>
      <w:marRight w:val="0"/>
      <w:marTop w:val="0"/>
      <w:marBottom w:val="0"/>
      <w:divBdr>
        <w:top w:val="none" w:sz="0" w:space="0" w:color="auto"/>
        <w:left w:val="none" w:sz="0" w:space="0" w:color="auto"/>
        <w:bottom w:val="none" w:sz="0" w:space="0" w:color="auto"/>
        <w:right w:val="none" w:sz="0" w:space="0" w:color="auto"/>
      </w:divBdr>
    </w:div>
    <w:div w:id="2020309732">
      <w:marLeft w:val="0"/>
      <w:marRight w:val="0"/>
      <w:marTop w:val="0"/>
      <w:marBottom w:val="0"/>
      <w:divBdr>
        <w:top w:val="none" w:sz="0" w:space="0" w:color="auto"/>
        <w:left w:val="none" w:sz="0" w:space="0" w:color="auto"/>
        <w:bottom w:val="none" w:sz="0" w:space="0" w:color="auto"/>
        <w:right w:val="none" w:sz="0" w:space="0" w:color="auto"/>
      </w:divBdr>
    </w:div>
    <w:div w:id="2020309733">
      <w:marLeft w:val="0"/>
      <w:marRight w:val="0"/>
      <w:marTop w:val="0"/>
      <w:marBottom w:val="0"/>
      <w:divBdr>
        <w:top w:val="none" w:sz="0" w:space="0" w:color="auto"/>
        <w:left w:val="none" w:sz="0" w:space="0" w:color="auto"/>
        <w:bottom w:val="none" w:sz="0" w:space="0" w:color="auto"/>
        <w:right w:val="none" w:sz="0" w:space="0" w:color="auto"/>
      </w:divBdr>
    </w:div>
    <w:div w:id="2020309734">
      <w:marLeft w:val="0"/>
      <w:marRight w:val="0"/>
      <w:marTop w:val="0"/>
      <w:marBottom w:val="0"/>
      <w:divBdr>
        <w:top w:val="none" w:sz="0" w:space="0" w:color="auto"/>
        <w:left w:val="none" w:sz="0" w:space="0" w:color="auto"/>
        <w:bottom w:val="none" w:sz="0" w:space="0" w:color="auto"/>
        <w:right w:val="none" w:sz="0" w:space="0" w:color="auto"/>
      </w:divBdr>
    </w:div>
    <w:div w:id="2020309735">
      <w:marLeft w:val="0"/>
      <w:marRight w:val="0"/>
      <w:marTop w:val="0"/>
      <w:marBottom w:val="0"/>
      <w:divBdr>
        <w:top w:val="none" w:sz="0" w:space="0" w:color="auto"/>
        <w:left w:val="none" w:sz="0" w:space="0" w:color="auto"/>
        <w:bottom w:val="none" w:sz="0" w:space="0" w:color="auto"/>
        <w:right w:val="none" w:sz="0" w:space="0" w:color="auto"/>
      </w:divBdr>
    </w:div>
    <w:div w:id="2020309736">
      <w:marLeft w:val="0"/>
      <w:marRight w:val="0"/>
      <w:marTop w:val="0"/>
      <w:marBottom w:val="0"/>
      <w:divBdr>
        <w:top w:val="none" w:sz="0" w:space="0" w:color="auto"/>
        <w:left w:val="none" w:sz="0" w:space="0" w:color="auto"/>
        <w:bottom w:val="none" w:sz="0" w:space="0" w:color="auto"/>
        <w:right w:val="none" w:sz="0" w:space="0" w:color="auto"/>
      </w:divBdr>
    </w:div>
    <w:div w:id="2020309737">
      <w:marLeft w:val="0"/>
      <w:marRight w:val="0"/>
      <w:marTop w:val="0"/>
      <w:marBottom w:val="0"/>
      <w:divBdr>
        <w:top w:val="none" w:sz="0" w:space="0" w:color="auto"/>
        <w:left w:val="none" w:sz="0" w:space="0" w:color="auto"/>
        <w:bottom w:val="none" w:sz="0" w:space="0" w:color="auto"/>
        <w:right w:val="none" w:sz="0" w:space="0" w:color="auto"/>
      </w:divBdr>
    </w:div>
    <w:div w:id="2020309738">
      <w:marLeft w:val="0"/>
      <w:marRight w:val="0"/>
      <w:marTop w:val="0"/>
      <w:marBottom w:val="0"/>
      <w:divBdr>
        <w:top w:val="none" w:sz="0" w:space="0" w:color="auto"/>
        <w:left w:val="none" w:sz="0" w:space="0" w:color="auto"/>
        <w:bottom w:val="none" w:sz="0" w:space="0" w:color="auto"/>
        <w:right w:val="none" w:sz="0" w:space="0" w:color="auto"/>
      </w:divBdr>
    </w:div>
    <w:div w:id="2020309739">
      <w:marLeft w:val="0"/>
      <w:marRight w:val="0"/>
      <w:marTop w:val="0"/>
      <w:marBottom w:val="0"/>
      <w:divBdr>
        <w:top w:val="none" w:sz="0" w:space="0" w:color="auto"/>
        <w:left w:val="none" w:sz="0" w:space="0" w:color="auto"/>
        <w:bottom w:val="none" w:sz="0" w:space="0" w:color="auto"/>
        <w:right w:val="none" w:sz="0" w:space="0" w:color="auto"/>
      </w:divBdr>
    </w:div>
    <w:div w:id="2020309740">
      <w:marLeft w:val="0"/>
      <w:marRight w:val="0"/>
      <w:marTop w:val="0"/>
      <w:marBottom w:val="0"/>
      <w:divBdr>
        <w:top w:val="none" w:sz="0" w:space="0" w:color="auto"/>
        <w:left w:val="none" w:sz="0" w:space="0" w:color="auto"/>
        <w:bottom w:val="none" w:sz="0" w:space="0" w:color="auto"/>
        <w:right w:val="none" w:sz="0" w:space="0" w:color="auto"/>
      </w:divBdr>
    </w:div>
    <w:div w:id="2020309741">
      <w:marLeft w:val="0"/>
      <w:marRight w:val="0"/>
      <w:marTop w:val="0"/>
      <w:marBottom w:val="0"/>
      <w:divBdr>
        <w:top w:val="none" w:sz="0" w:space="0" w:color="auto"/>
        <w:left w:val="none" w:sz="0" w:space="0" w:color="auto"/>
        <w:bottom w:val="none" w:sz="0" w:space="0" w:color="auto"/>
        <w:right w:val="none" w:sz="0" w:space="0" w:color="auto"/>
      </w:divBdr>
    </w:div>
    <w:div w:id="2020309742">
      <w:marLeft w:val="0"/>
      <w:marRight w:val="0"/>
      <w:marTop w:val="0"/>
      <w:marBottom w:val="0"/>
      <w:divBdr>
        <w:top w:val="none" w:sz="0" w:space="0" w:color="auto"/>
        <w:left w:val="none" w:sz="0" w:space="0" w:color="auto"/>
        <w:bottom w:val="none" w:sz="0" w:space="0" w:color="auto"/>
        <w:right w:val="none" w:sz="0" w:space="0" w:color="auto"/>
      </w:divBdr>
    </w:div>
    <w:div w:id="2020309743">
      <w:marLeft w:val="0"/>
      <w:marRight w:val="0"/>
      <w:marTop w:val="0"/>
      <w:marBottom w:val="0"/>
      <w:divBdr>
        <w:top w:val="none" w:sz="0" w:space="0" w:color="auto"/>
        <w:left w:val="none" w:sz="0" w:space="0" w:color="auto"/>
        <w:bottom w:val="none" w:sz="0" w:space="0" w:color="auto"/>
        <w:right w:val="none" w:sz="0" w:space="0" w:color="auto"/>
      </w:divBdr>
    </w:div>
    <w:div w:id="2020309744">
      <w:marLeft w:val="0"/>
      <w:marRight w:val="0"/>
      <w:marTop w:val="0"/>
      <w:marBottom w:val="0"/>
      <w:divBdr>
        <w:top w:val="none" w:sz="0" w:space="0" w:color="auto"/>
        <w:left w:val="none" w:sz="0" w:space="0" w:color="auto"/>
        <w:bottom w:val="none" w:sz="0" w:space="0" w:color="auto"/>
        <w:right w:val="none" w:sz="0" w:space="0" w:color="auto"/>
      </w:divBdr>
    </w:div>
    <w:div w:id="2020309745">
      <w:marLeft w:val="0"/>
      <w:marRight w:val="0"/>
      <w:marTop w:val="0"/>
      <w:marBottom w:val="0"/>
      <w:divBdr>
        <w:top w:val="none" w:sz="0" w:space="0" w:color="auto"/>
        <w:left w:val="none" w:sz="0" w:space="0" w:color="auto"/>
        <w:bottom w:val="none" w:sz="0" w:space="0" w:color="auto"/>
        <w:right w:val="none" w:sz="0" w:space="0" w:color="auto"/>
      </w:divBdr>
    </w:div>
    <w:div w:id="2020309746">
      <w:marLeft w:val="0"/>
      <w:marRight w:val="0"/>
      <w:marTop w:val="0"/>
      <w:marBottom w:val="0"/>
      <w:divBdr>
        <w:top w:val="none" w:sz="0" w:space="0" w:color="auto"/>
        <w:left w:val="none" w:sz="0" w:space="0" w:color="auto"/>
        <w:bottom w:val="none" w:sz="0" w:space="0" w:color="auto"/>
        <w:right w:val="none" w:sz="0" w:space="0" w:color="auto"/>
      </w:divBdr>
    </w:div>
    <w:div w:id="2020309747">
      <w:marLeft w:val="0"/>
      <w:marRight w:val="0"/>
      <w:marTop w:val="0"/>
      <w:marBottom w:val="0"/>
      <w:divBdr>
        <w:top w:val="none" w:sz="0" w:space="0" w:color="auto"/>
        <w:left w:val="none" w:sz="0" w:space="0" w:color="auto"/>
        <w:bottom w:val="none" w:sz="0" w:space="0" w:color="auto"/>
        <w:right w:val="none" w:sz="0" w:space="0" w:color="auto"/>
      </w:divBdr>
    </w:div>
    <w:div w:id="2020309748">
      <w:marLeft w:val="0"/>
      <w:marRight w:val="0"/>
      <w:marTop w:val="0"/>
      <w:marBottom w:val="0"/>
      <w:divBdr>
        <w:top w:val="none" w:sz="0" w:space="0" w:color="auto"/>
        <w:left w:val="none" w:sz="0" w:space="0" w:color="auto"/>
        <w:bottom w:val="none" w:sz="0" w:space="0" w:color="auto"/>
        <w:right w:val="none" w:sz="0" w:space="0" w:color="auto"/>
      </w:divBdr>
    </w:div>
    <w:div w:id="2020309749">
      <w:marLeft w:val="0"/>
      <w:marRight w:val="0"/>
      <w:marTop w:val="0"/>
      <w:marBottom w:val="0"/>
      <w:divBdr>
        <w:top w:val="none" w:sz="0" w:space="0" w:color="auto"/>
        <w:left w:val="none" w:sz="0" w:space="0" w:color="auto"/>
        <w:bottom w:val="none" w:sz="0" w:space="0" w:color="auto"/>
        <w:right w:val="none" w:sz="0" w:space="0" w:color="auto"/>
      </w:divBdr>
    </w:div>
    <w:div w:id="2020309750">
      <w:marLeft w:val="0"/>
      <w:marRight w:val="0"/>
      <w:marTop w:val="0"/>
      <w:marBottom w:val="0"/>
      <w:divBdr>
        <w:top w:val="none" w:sz="0" w:space="0" w:color="auto"/>
        <w:left w:val="none" w:sz="0" w:space="0" w:color="auto"/>
        <w:bottom w:val="none" w:sz="0" w:space="0" w:color="auto"/>
        <w:right w:val="none" w:sz="0" w:space="0" w:color="auto"/>
      </w:divBdr>
    </w:div>
    <w:div w:id="2020309751">
      <w:marLeft w:val="0"/>
      <w:marRight w:val="0"/>
      <w:marTop w:val="0"/>
      <w:marBottom w:val="0"/>
      <w:divBdr>
        <w:top w:val="none" w:sz="0" w:space="0" w:color="auto"/>
        <w:left w:val="none" w:sz="0" w:space="0" w:color="auto"/>
        <w:bottom w:val="none" w:sz="0" w:space="0" w:color="auto"/>
        <w:right w:val="none" w:sz="0" w:space="0" w:color="auto"/>
      </w:divBdr>
    </w:div>
    <w:div w:id="2020309752">
      <w:marLeft w:val="0"/>
      <w:marRight w:val="0"/>
      <w:marTop w:val="0"/>
      <w:marBottom w:val="0"/>
      <w:divBdr>
        <w:top w:val="none" w:sz="0" w:space="0" w:color="auto"/>
        <w:left w:val="none" w:sz="0" w:space="0" w:color="auto"/>
        <w:bottom w:val="none" w:sz="0" w:space="0" w:color="auto"/>
        <w:right w:val="none" w:sz="0" w:space="0" w:color="auto"/>
      </w:divBdr>
    </w:div>
    <w:div w:id="2020309753">
      <w:marLeft w:val="0"/>
      <w:marRight w:val="0"/>
      <w:marTop w:val="0"/>
      <w:marBottom w:val="0"/>
      <w:divBdr>
        <w:top w:val="none" w:sz="0" w:space="0" w:color="auto"/>
        <w:left w:val="none" w:sz="0" w:space="0" w:color="auto"/>
        <w:bottom w:val="none" w:sz="0" w:space="0" w:color="auto"/>
        <w:right w:val="none" w:sz="0" w:space="0" w:color="auto"/>
      </w:divBdr>
    </w:div>
    <w:div w:id="2020309754">
      <w:marLeft w:val="0"/>
      <w:marRight w:val="0"/>
      <w:marTop w:val="0"/>
      <w:marBottom w:val="0"/>
      <w:divBdr>
        <w:top w:val="none" w:sz="0" w:space="0" w:color="auto"/>
        <w:left w:val="none" w:sz="0" w:space="0" w:color="auto"/>
        <w:bottom w:val="none" w:sz="0" w:space="0" w:color="auto"/>
        <w:right w:val="none" w:sz="0" w:space="0" w:color="auto"/>
      </w:divBdr>
    </w:div>
    <w:div w:id="2020309755">
      <w:marLeft w:val="0"/>
      <w:marRight w:val="0"/>
      <w:marTop w:val="0"/>
      <w:marBottom w:val="0"/>
      <w:divBdr>
        <w:top w:val="none" w:sz="0" w:space="0" w:color="auto"/>
        <w:left w:val="none" w:sz="0" w:space="0" w:color="auto"/>
        <w:bottom w:val="none" w:sz="0" w:space="0" w:color="auto"/>
        <w:right w:val="none" w:sz="0" w:space="0" w:color="auto"/>
      </w:divBdr>
    </w:div>
    <w:div w:id="2020309756">
      <w:marLeft w:val="0"/>
      <w:marRight w:val="0"/>
      <w:marTop w:val="0"/>
      <w:marBottom w:val="0"/>
      <w:divBdr>
        <w:top w:val="none" w:sz="0" w:space="0" w:color="auto"/>
        <w:left w:val="none" w:sz="0" w:space="0" w:color="auto"/>
        <w:bottom w:val="none" w:sz="0" w:space="0" w:color="auto"/>
        <w:right w:val="none" w:sz="0" w:space="0" w:color="auto"/>
      </w:divBdr>
    </w:div>
    <w:div w:id="2020309757">
      <w:marLeft w:val="0"/>
      <w:marRight w:val="0"/>
      <w:marTop w:val="0"/>
      <w:marBottom w:val="0"/>
      <w:divBdr>
        <w:top w:val="none" w:sz="0" w:space="0" w:color="auto"/>
        <w:left w:val="none" w:sz="0" w:space="0" w:color="auto"/>
        <w:bottom w:val="none" w:sz="0" w:space="0" w:color="auto"/>
        <w:right w:val="none" w:sz="0" w:space="0" w:color="auto"/>
      </w:divBdr>
    </w:div>
    <w:div w:id="2020309758">
      <w:marLeft w:val="0"/>
      <w:marRight w:val="0"/>
      <w:marTop w:val="0"/>
      <w:marBottom w:val="0"/>
      <w:divBdr>
        <w:top w:val="none" w:sz="0" w:space="0" w:color="auto"/>
        <w:left w:val="none" w:sz="0" w:space="0" w:color="auto"/>
        <w:bottom w:val="none" w:sz="0" w:space="0" w:color="auto"/>
        <w:right w:val="none" w:sz="0" w:space="0" w:color="auto"/>
      </w:divBdr>
    </w:div>
    <w:div w:id="2020309759">
      <w:marLeft w:val="0"/>
      <w:marRight w:val="0"/>
      <w:marTop w:val="0"/>
      <w:marBottom w:val="0"/>
      <w:divBdr>
        <w:top w:val="none" w:sz="0" w:space="0" w:color="auto"/>
        <w:left w:val="none" w:sz="0" w:space="0" w:color="auto"/>
        <w:bottom w:val="none" w:sz="0" w:space="0" w:color="auto"/>
        <w:right w:val="none" w:sz="0" w:space="0" w:color="auto"/>
      </w:divBdr>
    </w:div>
    <w:div w:id="2020309760">
      <w:marLeft w:val="0"/>
      <w:marRight w:val="0"/>
      <w:marTop w:val="0"/>
      <w:marBottom w:val="0"/>
      <w:divBdr>
        <w:top w:val="none" w:sz="0" w:space="0" w:color="auto"/>
        <w:left w:val="none" w:sz="0" w:space="0" w:color="auto"/>
        <w:bottom w:val="none" w:sz="0" w:space="0" w:color="auto"/>
        <w:right w:val="none" w:sz="0" w:space="0" w:color="auto"/>
      </w:divBdr>
    </w:div>
    <w:div w:id="2020309761">
      <w:marLeft w:val="0"/>
      <w:marRight w:val="0"/>
      <w:marTop w:val="0"/>
      <w:marBottom w:val="0"/>
      <w:divBdr>
        <w:top w:val="none" w:sz="0" w:space="0" w:color="auto"/>
        <w:left w:val="none" w:sz="0" w:space="0" w:color="auto"/>
        <w:bottom w:val="none" w:sz="0" w:space="0" w:color="auto"/>
        <w:right w:val="none" w:sz="0" w:space="0" w:color="auto"/>
      </w:divBdr>
    </w:div>
    <w:div w:id="2020309762">
      <w:marLeft w:val="0"/>
      <w:marRight w:val="0"/>
      <w:marTop w:val="0"/>
      <w:marBottom w:val="0"/>
      <w:divBdr>
        <w:top w:val="none" w:sz="0" w:space="0" w:color="auto"/>
        <w:left w:val="none" w:sz="0" w:space="0" w:color="auto"/>
        <w:bottom w:val="none" w:sz="0" w:space="0" w:color="auto"/>
        <w:right w:val="none" w:sz="0" w:space="0" w:color="auto"/>
      </w:divBdr>
    </w:div>
    <w:div w:id="2020309763">
      <w:marLeft w:val="0"/>
      <w:marRight w:val="0"/>
      <w:marTop w:val="0"/>
      <w:marBottom w:val="0"/>
      <w:divBdr>
        <w:top w:val="none" w:sz="0" w:space="0" w:color="auto"/>
        <w:left w:val="none" w:sz="0" w:space="0" w:color="auto"/>
        <w:bottom w:val="none" w:sz="0" w:space="0" w:color="auto"/>
        <w:right w:val="none" w:sz="0" w:space="0" w:color="auto"/>
      </w:divBdr>
    </w:div>
    <w:div w:id="2020309764">
      <w:marLeft w:val="0"/>
      <w:marRight w:val="0"/>
      <w:marTop w:val="0"/>
      <w:marBottom w:val="0"/>
      <w:divBdr>
        <w:top w:val="none" w:sz="0" w:space="0" w:color="auto"/>
        <w:left w:val="none" w:sz="0" w:space="0" w:color="auto"/>
        <w:bottom w:val="none" w:sz="0" w:space="0" w:color="auto"/>
        <w:right w:val="none" w:sz="0" w:space="0" w:color="auto"/>
      </w:divBdr>
    </w:div>
    <w:div w:id="2020309765">
      <w:marLeft w:val="0"/>
      <w:marRight w:val="0"/>
      <w:marTop w:val="0"/>
      <w:marBottom w:val="0"/>
      <w:divBdr>
        <w:top w:val="none" w:sz="0" w:space="0" w:color="auto"/>
        <w:left w:val="none" w:sz="0" w:space="0" w:color="auto"/>
        <w:bottom w:val="none" w:sz="0" w:space="0" w:color="auto"/>
        <w:right w:val="none" w:sz="0" w:space="0" w:color="auto"/>
      </w:divBdr>
    </w:div>
    <w:div w:id="2020309766">
      <w:marLeft w:val="0"/>
      <w:marRight w:val="0"/>
      <w:marTop w:val="0"/>
      <w:marBottom w:val="0"/>
      <w:divBdr>
        <w:top w:val="none" w:sz="0" w:space="0" w:color="auto"/>
        <w:left w:val="none" w:sz="0" w:space="0" w:color="auto"/>
        <w:bottom w:val="none" w:sz="0" w:space="0" w:color="auto"/>
        <w:right w:val="none" w:sz="0" w:space="0" w:color="auto"/>
      </w:divBdr>
    </w:div>
    <w:div w:id="2020309767">
      <w:marLeft w:val="0"/>
      <w:marRight w:val="0"/>
      <w:marTop w:val="0"/>
      <w:marBottom w:val="0"/>
      <w:divBdr>
        <w:top w:val="none" w:sz="0" w:space="0" w:color="auto"/>
        <w:left w:val="none" w:sz="0" w:space="0" w:color="auto"/>
        <w:bottom w:val="none" w:sz="0" w:space="0" w:color="auto"/>
        <w:right w:val="none" w:sz="0" w:space="0" w:color="auto"/>
      </w:divBdr>
    </w:div>
    <w:div w:id="2020309768">
      <w:marLeft w:val="0"/>
      <w:marRight w:val="0"/>
      <w:marTop w:val="0"/>
      <w:marBottom w:val="0"/>
      <w:divBdr>
        <w:top w:val="none" w:sz="0" w:space="0" w:color="auto"/>
        <w:left w:val="none" w:sz="0" w:space="0" w:color="auto"/>
        <w:bottom w:val="none" w:sz="0" w:space="0" w:color="auto"/>
        <w:right w:val="none" w:sz="0" w:space="0" w:color="auto"/>
      </w:divBdr>
    </w:div>
    <w:div w:id="2020309769">
      <w:marLeft w:val="0"/>
      <w:marRight w:val="0"/>
      <w:marTop w:val="0"/>
      <w:marBottom w:val="0"/>
      <w:divBdr>
        <w:top w:val="none" w:sz="0" w:space="0" w:color="auto"/>
        <w:left w:val="none" w:sz="0" w:space="0" w:color="auto"/>
        <w:bottom w:val="none" w:sz="0" w:space="0" w:color="auto"/>
        <w:right w:val="none" w:sz="0" w:space="0" w:color="auto"/>
      </w:divBdr>
    </w:div>
    <w:div w:id="2020309770">
      <w:marLeft w:val="0"/>
      <w:marRight w:val="0"/>
      <w:marTop w:val="0"/>
      <w:marBottom w:val="0"/>
      <w:divBdr>
        <w:top w:val="none" w:sz="0" w:space="0" w:color="auto"/>
        <w:left w:val="none" w:sz="0" w:space="0" w:color="auto"/>
        <w:bottom w:val="none" w:sz="0" w:space="0" w:color="auto"/>
        <w:right w:val="none" w:sz="0" w:space="0" w:color="auto"/>
      </w:divBdr>
    </w:div>
    <w:div w:id="2020309771">
      <w:marLeft w:val="0"/>
      <w:marRight w:val="0"/>
      <w:marTop w:val="0"/>
      <w:marBottom w:val="0"/>
      <w:divBdr>
        <w:top w:val="none" w:sz="0" w:space="0" w:color="auto"/>
        <w:left w:val="none" w:sz="0" w:space="0" w:color="auto"/>
        <w:bottom w:val="none" w:sz="0" w:space="0" w:color="auto"/>
        <w:right w:val="none" w:sz="0" w:space="0" w:color="auto"/>
      </w:divBdr>
    </w:div>
    <w:div w:id="2020309772">
      <w:marLeft w:val="0"/>
      <w:marRight w:val="0"/>
      <w:marTop w:val="0"/>
      <w:marBottom w:val="0"/>
      <w:divBdr>
        <w:top w:val="none" w:sz="0" w:space="0" w:color="auto"/>
        <w:left w:val="none" w:sz="0" w:space="0" w:color="auto"/>
        <w:bottom w:val="none" w:sz="0" w:space="0" w:color="auto"/>
        <w:right w:val="none" w:sz="0" w:space="0" w:color="auto"/>
      </w:divBdr>
    </w:div>
    <w:div w:id="2020309773">
      <w:marLeft w:val="0"/>
      <w:marRight w:val="0"/>
      <w:marTop w:val="0"/>
      <w:marBottom w:val="0"/>
      <w:divBdr>
        <w:top w:val="none" w:sz="0" w:space="0" w:color="auto"/>
        <w:left w:val="none" w:sz="0" w:space="0" w:color="auto"/>
        <w:bottom w:val="none" w:sz="0" w:space="0" w:color="auto"/>
        <w:right w:val="none" w:sz="0" w:space="0" w:color="auto"/>
      </w:divBdr>
    </w:div>
    <w:div w:id="2020309774">
      <w:marLeft w:val="0"/>
      <w:marRight w:val="0"/>
      <w:marTop w:val="0"/>
      <w:marBottom w:val="0"/>
      <w:divBdr>
        <w:top w:val="none" w:sz="0" w:space="0" w:color="auto"/>
        <w:left w:val="none" w:sz="0" w:space="0" w:color="auto"/>
        <w:bottom w:val="none" w:sz="0" w:space="0" w:color="auto"/>
        <w:right w:val="none" w:sz="0" w:space="0" w:color="auto"/>
      </w:divBdr>
    </w:div>
    <w:div w:id="2020309775">
      <w:marLeft w:val="0"/>
      <w:marRight w:val="0"/>
      <w:marTop w:val="0"/>
      <w:marBottom w:val="0"/>
      <w:divBdr>
        <w:top w:val="none" w:sz="0" w:space="0" w:color="auto"/>
        <w:left w:val="none" w:sz="0" w:space="0" w:color="auto"/>
        <w:bottom w:val="none" w:sz="0" w:space="0" w:color="auto"/>
        <w:right w:val="none" w:sz="0" w:space="0" w:color="auto"/>
      </w:divBdr>
    </w:div>
    <w:div w:id="2020309776">
      <w:marLeft w:val="0"/>
      <w:marRight w:val="0"/>
      <w:marTop w:val="0"/>
      <w:marBottom w:val="0"/>
      <w:divBdr>
        <w:top w:val="none" w:sz="0" w:space="0" w:color="auto"/>
        <w:left w:val="none" w:sz="0" w:space="0" w:color="auto"/>
        <w:bottom w:val="none" w:sz="0" w:space="0" w:color="auto"/>
        <w:right w:val="none" w:sz="0" w:space="0" w:color="auto"/>
      </w:divBdr>
    </w:div>
    <w:div w:id="2020309777">
      <w:marLeft w:val="0"/>
      <w:marRight w:val="0"/>
      <w:marTop w:val="0"/>
      <w:marBottom w:val="0"/>
      <w:divBdr>
        <w:top w:val="none" w:sz="0" w:space="0" w:color="auto"/>
        <w:left w:val="none" w:sz="0" w:space="0" w:color="auto"/>
        <w:bottom w:val="none" w:sz="0" w:space="0" w:color="auto"/>
        <w:right w:val="none" w:sz="0" w:space="0" w:color="auto"/>
      </w:divBdr>
    </w:div>
    <w:div w:id="2020309778">
      <w:marLeft w:val="0"/>
      <w:marRight w:val="0"/>
      <w:marTop w:val="0"/>
      <w:marBottom w:val="0"/>
      <w:divBdr>
        <w:top w:val="none" w:sz="0" w:space="0" w:color="auto"/>
        <w:left w:val="none" w:sz="0" w:space="0" w:color="auto"/>
        <w:bottom w:val="none" w:sz="0" w:space="0" w:color="auto"/>
        <w:right w:val="none" w:sz="0" w:space="0" w:color="auto"/>
      </w:divBdr>
    </w:div>
    <w:div w:id="2020309779">
      <w:marLeft w:val="0"/>
      <w:marRight w:val="0"/>
      <w:marTop w:val="0"/>
      <w:marBottom w:val="0"/>
      <w:divBdr>
        <w:top w:val="none" w:sz="0" w:space="0" w:color="auto"/>
        <w:left w:val="none" w:sz="0" w:space="0" w:color="auto"/>
        <w:bottom w:val="none" w:sz="0" w:space="0" w:color="auto"/>
        <w:right w:val="none" w:sz="0" w:space="0" w:color="auto"/>
      </w:divBdr>
    </w:div>
    <w:div w:id="2020309780">
      <w:marLeft w:val="0"/>
      <w:marRight w:val="0"/>
      <w:marTop w:val="0"/>
      <w:marBottom w:val="0"/>
      <w:divBdr>
        <w:top w:val="none" w:sz="0" w:space="0" w:color="auto"/>
        <w:left w:val="none" w:sz="0" w:space="0" w:color="auto"/>
        <w:bottom w:val="none" w:sz="0" w:space="0" w:color="auto"/>
        <w:right w:val="none" w:sz="0" w:space="0" w:color="auto"/>
      </w:divBdr>
    </w:div>
    <w:div w:id="2020309781">
      <w:marLeft w:val="0"/>
      <w:marRight w:val="0"/>
      <w:marTop w:val="0"/>
      <w:marBottom w:val="0"/>
      <w:divBdr>
        <w:top w:val="none" w:sz="0" w:space="0" w:color="auto"/>
        <w:left w:val="none" w:sz="0" w:space="0" w:color="auto"/>
        <w:bottom w:val="none" w:sz="0" w:space="0" w:color="auto"/>
        <w:right w:val="none" w:sz="0" w:space="0" w:color="auto"/>
      </w:divBdr>
    </w:div>
    <w:div w:id="2020309782">
      <w:marLeft w:val="0"/>
      <w:marRight w:val="0"/>
      <w:marTop w:val="0"/>
      <w:marBottom w:val="0"/>
      <w:divBdr>
        <w:top w:val="none" w:sz="0" w:space="0" w:color="auto"/>
        <w:left w:val="none" w:sz="0" w:space="0" w:color="auto"/>
        <w:bottom w:val="none" w:sz="0" w:space="0" w:color="auto"/>
        <w:right w:val="none" w:sz="0" w:space="0" w:color="auto"/>
      </w:divBdr>
    </w:div>
    <w:div w:id="2020309783">
      <w:marLeft w:val="0"/>
      <w:marRight w:val="0"/>
      <w:marTop w:val="0"/>
      <w:marBottom w:val="0"/>
      <w:divBdr>
        <w:top w:val="none" w:sz="0" w:space="0" w:color="auto"/>
        <w:left w:val="none" w:sz="0" w:space="0" w:color="auto"/>
        <w:bottom w:val="none" w:sz="0" w:space="0" w:color="auto"/>
        <w:right w:val="none" w:sz="0" w:space="0" w:color="auto"/>
      </w:divBdr>
    </w:div>
    <w:div w:id="2020309784">
      <w:marLeft w:val="0"/>
      <w:marRight w:val="0"/>
      <w:marTop w:val="0"/>
      <w:marBottom w:val="0"/>
      <w:divBdr>
        <w:top w:val="none" w:sz="0" w:space="0" w:color="auto"/>
        <w:left w:val="none" w:sz="0" w:space="0" w:color="auto"/>
        <w:bottom w:val="none" w:sz="0" w:space="0" w:color="auto"/>
        <w:right w:val="none" w:sz="0" w:space="0" w:color="auto"/>
      </w:divBdr>
    </w:div>
    <w:div w:id="2020309785">
      <w:marLeft w:val="0"/>
      <w:marRight w:val="0"/>
      <w:marTop w:val="0"/>
      <w:marBottom w:val="0"/>
      <w:divBdr>
        <w:top w:val="none" w:sz="0" w:space="0" w:color="auto"/>
        <w:left w:val="none" w:sz="0" w:space="0" w:color="auto"/>
        <w:bottom w:val="none" w:sz="0" w:space="0" w:color="auto"/>
        <w:right w:val="none" w:sz="0" w:space="0" w:color="auto"/>
      </w:divBdr>
    </w:div>
    <w:div w:id="2020309786">
      <w:marLeft w:val="0"/>
      <w:marRight w:val="0"/>
      <w:marTop w:val="0"/>
      <w:marBottom w:val="0"/>
      <w:divBdr>
        <w:top w:val="none" w:sz="0" w:space="0" w:color="auto"/>
        <w:left w:val="none" w:sz="0" w:space="0" w:color="auto"/>
        <w:bottom w:val="none" w:sz="0" w:space="0" w:color="auto"/>
        <w:right w:val="none" w:sz="0" w:space="0" w:color="auto"/>
      </w:divBdr>
    </w:div>
    <w:div w:id="2020309787">
      <w:marLeft w:val="0"/>
      <w:marRight w:val="0"/>
      <w:marTop w:val="0"/>
      <w:marBottom w:val="0"/>
      <w:divBdr>
        <w:top w:val="none" w:sz="0" w:space="0" w:color="auto"/>
        <w:left w:val="none" w:sz="0" w:space="0" w:color="auto"/>
        <w:bottom w:val="none" w:sz="0" w:space="0" w:color="auto"/>
        <w:right w:val="none" w:sz="0" w:space="0" w:color="auto"/>
      </w:divBdr>
    </w:div>
    <w:div w:id="2020309788">
      <w:marLeft w:val="0"/>
      <w:marRight w:val="0"/>
      <w:marTop w:val="0"/>
      <w:marBottom w:val="0"/>
      <w:divBdr>
        <w:top w:val="none" w:sz="0" w:space="0" w:color="auto"/>
        <w:left w:val="none" w:sz="0" w:space="0" w:color="auto"/>
        <w:bottom w:val="none" w:sz="0" w:space="0" w:color="auto"/>
        <w:right w:val="none" w:sz="0" w:space="0" w:color="auto"/>
      </w:divBdr>
    </w:div>
    <w:div w:id="2020309789">
      <w:marLeft w:val="0"/>
      <w:marRight w:val="0"/>
      <w:marTop w:val="0"/>
      <w:marBottom w:val="0"/>
      <w:divBdr>
        <w:top w:val="none" w:sz="0" w:space="0" w:color="auto"/>
        <w:left w:val="none" w:sz="0" w:space="0" w:color="auto"/>
        <w:bottom w:val="none" w:sz="0" w:space="0" w:color="auto"/>
        <w:right w:val="none" w:sz="0" w:space="0" w:color="auto"/>
      </w:divBdr>
    </w:div>
    <w:div w:id="2020309790">
      <w:marLeft w:val="0"/>
      <w:marRight w:val="0"/>
      <w:marTop w:val="0"/>
      <w:marBottom w:val="0"/>
      <w:divBdr>
        <w:top w:val="none" w:sz="0" w:space="0" w:color="auto"/>
        <w:left w:val="none" w:sz="0" w:space="0" w:color="auto"/>
        <w:bottom w:val="none" w:sz="0" w:space="0" w:color="auto"/>
        <w:right w:val="none" w:sz="0" w:space="0" w:color="auto"/>
      </w:divBdr>
    </w:div>
    <w:div w:id="2020309791">
      <w:marLeft w:val="0"/>
      <w:marRight w:val="0"/>
      <w:marTop w:val="0"/>
      <w:marBottom w:val="0"/>
      <w:divBdr>
        <w:top w:val="none" w:sz="0" w:space="0" w:color="auto"/>
        <w:left w:val="none" w:sz="0" w:space="0" w:color="auto"/>
        <w:bottom w:val="none" w:sz="0" w:space="0" w:color="auto"/>
        <w:right w:val="none" w:sz="0" w:space="0" w:color="auto"/>
      </w:divBdr>
    </w:div>
    <w:div w:id="2020309792">
      <w:marLeft w:val="0"/>
      <w:marRight w:val="0"/>
      <w:marTop w:val="0"/>
      <w:marBottom w:val="0"/>
      <w:divBdr>
        <w:top w:val="none" w:sz="0" w:space="0" w:color="auto"/>
        <w:left w:val="none" w:sz="0" w:space="0" w:color="auto"/>
        <w:bottom w:val="none" w:sz="0" w:space="0" w:color="auto"/>
        <w:right w:val="none" w:sz="0" w:space="0" w:color="auto"/>
      </w:divBdr>
    </w:div>
    <w:div w:id="2020309794">
      <w:marLeft w:val="0"/>
      <w:marRight w:val="0"/>
      <w:marTop w:val="0"/>
      <w:marBottom w:val="0"/>
      <w:divBdr>
        <w:top w:val="none" w:sz="0" w:space="0" w:color="auto"/>
        <w:left w:val="none" w:sz="0" w:space="0" w:color="auto"/>
        <w:bottom w:val="none" w:sz="0" w:space="0" w:color="auto"/>
        <w:right w:val="none" w:sz="0" w:space="0" w:color="auto"/>
      </w:divBdr>
      <w:divsChild>
        <w:div w:id="2020309793">
          <w:marLeft w:val="0"/>
          <w:marRight w:val="0"/>
          <w:marTop w:val="0"/>
          <w:marBottom w:val="0"/>
          <w:divBdr>
            <w:top w:val="none" w:sz="0" w:space="0" w:color="auto"/>
            <w:left w:val="none" w:sz="0" w:space="0" w:color="auto"/>
            <w:bottom w:val="none" w:sz="0" w:space="0" w:color="auto"/>
            <w:right w:val="none" w:sz="0" w:space="0" w:color="auto"/>
          </w:divBdr>
        </w:div>
      </w:divsChild>
    </w:div>
    <w:div w:id="2020309795">
      <w:marLeft w:val="0"/>
      <w:marRight w:val="0"/>
      <w:marTop w:val="0"/>
      <w:marBottom w:val="0"/>
      <w:divBdr>
        <w:top w:val="none" w:sz="0" w:space="0" w:color="auto"/>
        <w:left w:val="none" w:sz="0" w:space="0" w:color="auto"/>
        <w:bottom w:val="none" w:sz="0" w:space="0" w:color="auto"/>
        <w:right w:val="none" w:sz="0" w:space="0" w:color="auto"/>
      </w:divBdr>
    </w:div>
    <w:div w:id="2020309796">
      <w:marLeft w:val="0"/>
      <w:marRight w:val="0"/>
      <w:marTop w:val="0"/>
      <w:marBottom w:val="0"/>
      <w:divBdr>
        <w:top w:val="none" w:sz="0" w:space="0" w:color="auto"/>
        <w:left w:val="none" w:sz="0" w:space="0" w:color="auto"/>
        <w:bottom w:val="none" w:sz="0" w:space="0" w:color="auto"/>
        <w:right w:val="none" w:sz="0" w:space="0" w:color="auto"/>
      </w:divBdr>
    </w:div>
    <w:div w:id="2020309797">
      <w:marLeft w:val="0"/>
      <w:marRight w:val="0"/>
      <w:marTop w:val="0"/>
      <w:marBottom w:val="0"/>
      <w:divBdr>
        <w:top w:val="none" w:sz="0" w:space="0" w:color="auto"/>
        <w:left w:val="none" w:sz="0" w:space="0" w:color="auto"/>
        <w:bottom w:val="none" w:sz="0" w:space="0" w:color="auto"/>
        <w:right w:val="none" w:sz="0" w:space="0" w:color="auto"/>
      </w:divBdr>
    </w:div>
    <w:div w:id="2020309798">
      <w:marLeft w:val="0"/>
      <w:marRight w:val="0"/>
      <w:marTop w:val="0"/>
      <w:marBottom w:val="0"/>
      <w:divBdr>
        <w:top w:val="none" w:sz="0" w:space="0" w:color="auto"/>
        <w:left w:val="none" w:sz="0" w:space="0" w:color="auto"/>
        <w:bottom w:val="none" w:sz="0" w:space="0" w:color="auto"/>
        <w:right w:val="none" w:sz="0" w:space="0" w:color="auto"/>
      </w:divBdr>
    </w:div>
    <w:div w:id="2020309799">
      <w:marLeft w:val="0"/>
      <w:marRight w:val="0"/>
      <w:marTop w:val="0"/>
      <w:marBottom w:val="0"/>
      <w:divBdr>
        <w:top w:val="none" w:sz="0" w:space="0" w:color="auto"/>
        <w:left w:val="none" w:sz="0" w:space="0" w:color="auto"/>
        <w:bottom w:val="none" w:sz="0" w:space="0" w:color="auto"/>
        <w:right w:val="none" w:sz="0" w:space="0" w:color="auto"/>
      </w:divBdr>
    </w:div>
    <w:div w:id="2020309800">
      <w:marLeft w:val="0"/>
      <w:marRight w:val="0"/>
      <w:marTop w:val="0"/>
      <w:marBottom w:val="0"/>
      <w:divBdr>
        <w:top w:val="none" w:sz="0" w:space="0" w:color="auto"/>
        <w:left w:val="none" w:sz="0" w:space="0" w:color="auto"/>
        <w:bottom w:val="none" w:sz="0" w:space="0" w:color="auto"/>
        <w:right w:val="none" w:sz="0" w:space="0" w:color="auto"/>
      </w:divBdr>
    </w:div>
    <w:div w:id="2020309801">
      <w:marLeft w:val="0"/>
      <w:marRight w:val="0"/>
      <w:marTop w:val="0"/>
      <w:marBottom w:val="0"/>
      <w:divBdr>
        <w:top w:val="none" w:sz="0" w:space="0" w:color="auto"/>
        <w:left w:val="none" w:sz="0" w:space="0" w:color="auto"/>
        <w:bottom w:val="none" w:sz="0" w:space="0" w:color="auto"/>
        <w:right w:val="none" w:sz="0" w:space="0" w:color="auto"/>
      </w:divBdr>
    </w:div>
    <w:div w:id="2020309802">
      <w:marLeft w:val="0"/>
      <w:marRight w:val="0"/>
      <w:marTop w:val="0"/>
      <w:marBottom w:val="0"/>
      <w:divBdr>
        <w:top w:val="none" w:sz="0" w:space="0" w:color="auto"/>
        <w:left w:val="none" w:sz="0" w:space="0" w:color="auto"/>
        <w:bottom w:val="none" w:sz="0" w:space="0" w:color="auto"/>
        <w:right w:val="none" w:sz="0" w:space="0" w:color="auto"/>
      </w:divBdr>
    </w:div>
    <w:div w:id="2020309803">
      <w:marLeft w:val="0"/>
      <w:marRight w:val="0"/>
      <w:marTop w:val="0"/>
      <w:marBottom w:val="0"/>
      <w:divBdr>
        <w:top w:val="none" w:sz="0" w:space="0" w:color="auto"/>
        <w:left w:val="none" w:sz="0" w:space="0" w:color="auto"/>
        <w:bottom w:val="none" w:sz="0" w:space="0" w:color="auto"/>
        <w:right w:val="none" w:sz="0" w:space="0" w:color="auto"/>
      </w:divBdr>
    </w:div>
    <w:div w:id="2020309804">
      <w:marLeft w:val="0"/>
      <w:marRight w:val="0"/>
      <w:marTop w:val="0"/>
      <w:marBottom w:val="0"/>
      <w:divBdr>
        <w:top w:val="none" w:sz="0" w:space="0" w:color="auto"/>
        <w:left w:val="none" w:sz="0" w:space="0" w:color="auto"/>
        <w:bottom w:val="none" w:sz="0" w:space="0" w:color="auto"/>
        <w:right w:val="none" w:sz="0" w:space="0" w:color="auto"/>
      </w:divBdr>
    </w:div>
    <w:div w:id="2020309805">
      <w:marLeft w:val="0"/>
      <w:marRight w:val="0"/>
      <w:marTop w:val="0"/>
      <w:marBottom w:val="0"/>
      <w:divBdr>
        <w:top w:val="none" w:sz="0" w:space="0" w:color="auto"/>
        <w:left w:val="none" w:sz="0" w:space="0" w:color="auto"/>
        <w:bottom w:val="none" w:sz="0" w:space="0" w:color="auto"/>
        <w:right w:val="none" w:sz="0" w:space="0" w:color="auto"/>
      </w:divBdr>
    </w:div>
    <w:div w:id="2020309806">
      <w:marLeft w:val="0"/>
      <w:marRight w:val="0"/>
      <w:marTop w:val="0"/>
      <w:marBottom w:val="0"/>
      <w:divBdr>
        <w:top w:val="none" w:sz="0" w:space="0" w:color="auto"/>
        <w:left w:val="none" w:sz="0" w:space="0" w:color="auto"/>
        <w:bottom w:val="none" w:sz="0" w:space="0" w:color="auto"/>
        <w:right w:val="none" w:sz="0" w:space="0" w:color="auto"/>
      </w:divBdr>
    </w:div>
    <w:div w:id="2020309807">
      <w:marLeft w:val="0"/>
      <w:marRight w:val="0"/>
      <w:marTop w:val="0"/>
      <w:marBottom w:val="0"/>
      <w:divBdr>
        <w:top w:val="none" w:sz="0" w:space="0" w:color="auto"/>
        <w:left w:val="none" w:sz="0" w:space="0" w:color="auto"/>
        <w:bottom w:val="none" w:sz="0" w:space="0" w:color="auto"/>
        <w:right w:val="none" w:sz="0" w:space="0" w:color="auto"/>
      </w:divBdr>
    </w:div>
    <w:div w:id="2020309808">
      <w:marLeft w:val="0"/>
      <w:marRight w:val="0"/>
      <w:marTop w:val="0"/>
      <w:marBottom w:val="0"/>
      <w:divBdr>
        <w:top w:val="none" w:sz="0" w:space="0" w:color="auto"/>
        <w:left w:val="none" w:sz="0" w:space="0" w:color="auto"/>
        <w:bottom w:val="none" w:sz="0" w:space="0" w:color="auto"/>
        <w:right w:val="none" w:sz="0" w:space="0" w:color="auto"/>
      </w:divBdr>
    </w:div>
    <w:div w:id="2020309809">
      <w:marLeft w:val="0"/>
      <w:marRight w:val="0"/>
      <w:marTop w:val="0"/>
      <w:marBottom w:val="0"/>
      <w:divBdr>
        <w:top w:val="none" w:sz="0" w:space="0" w:color="auto"/>
        <w:left w:val="none" w:sz="0" w:space="0" w:color="auto"/>
        <w:bottom w:val="none" w:sz="0" w:space="0" w:color="auto"/>
        <w:right w:val="none" w:sz="0" w:space="0" w:color="auto"/>
      </w:divBdr>
    </w:div>
    <w:div w:id="2020309810">
      <w:marLeft w:val="0"/>
      <w:marRight w:val="0"/>
      <w:marTop w:val="0"/>
      <w:marBottom w:val="0"/>
      <w:divBdr>
        <w:top w:val="none" w:sz="0" w:space="0" w:color="auto"/>
        <w:left w:val="none" w:sz="0" w:space="0" w:color="auto"/>
        <w:bottom w:val="none" w:sz="0" w:space="0" w:color="auto"/>
        <w:right w:val="none" w:sz="0" w:space="0" w:color="auto"/>
      </w:divBdr>
    </w:div>
    <w:div w:id="2020309811">
      <w:marLeft w:val="0"/>
      <w:marRight w:val="0"/>
      <w:marTop w:val="0"/>
      <w:marBottom w:val="0"/>
      <w:divBdr>
        <w:top w:val="none" w:sz="0" w:space="0" w:color="auto"/>
        <w:left w:val="none" w:sz="0" w:space="0" w:color="auto"/>
        <w:bottom w:val="none" w:sz="0" w:space="0" w:color="auto"/>
        <w:right w:val="none" w:sz="0" w:space="0" w:color="auto"/>
      </w:divBdr>
    </w:div>
    <w:div w:id="2020309812">
      <w:marLeft w:val="0"/>
      <w:marRight w:val="0"/>
      <w:marTop w:val="0"/>
      <w:marBottom w:val="0"/>
      <w:divBdr>
        <w:top w:val="none" w:sz="0" w:space="0" w:color="auto"/>
        <w:left w:val="none" w:sz="0" w:space="0" w:color="auto"/>
        <w:bottom w:val="none" w:sz="0" w:space="0" w:color="auto"/>
        <w:right w:val="none" w:sz="0" w:space="0" w:color="auto"/>
      </w:divBdr>
    </w:div>
    <w:div w:id="2020309813">
      <w:marLeft w:val="0"/>
      <w:marRight w:val="0"/>
      <w:marTop w:val="0"/>
      <w:marBottom w:val="0"/>
      <w:divBdr>
        <w:top w:val="none" w:sz="0" w:space="0" w:color="auto"/>
        <w:left w:val="none" w:sz="0" w:space="0" w:color="auto"/>
        <w:bottom w:val="none" w:sz="0" w:space="0" w:color="auto"/>
        <w:right w:val="none" w:sz="0" w:space="0" w:color="auto"/>
      </w:divBdr>
    </w:div>
    <w:div w:id="2020309814">
      <w:marLeft w:val="0"/>
      <w:marRight w:val="0"/>
      <w:marTop w:val="0"/>
      <w:marBottom w:val="0"/>
      <w:divBdr>
        <w:top w:val="none" w:sz="0" w:space="0" w:color="auto"/>
        <w:left w:val="none" w:sz="0" w:space="0" w:color="auto"/>
        <w:bottom w:val="none" w:sz="0" w:space="0" w:color="auto"/>
        <w:right w:val="none" w:sz="0" w:space="0" w:color="auto"/>
      </w:divBdr>
    </w:div>
    <w:div w:id="2020309815">
      <w:marLeft w:val="0"/>
      <w:marRight w:val="0"/>
      <w:marTop w:val="0"/>
      <w:marBottom w:val="0"/>
      <w:divBdr>
        <w:top w:val="none" w:sz="0" w:space="0" w:color="auto"/>
        <w:left w:val="none" w:sz="0" w:space="0" w:color="auto"/>
        <w:bottom w:val="none" w:sz="0" w:space="0" w:color="auto"/>
        <w:right w:val="none" w:sz="0" w:space="0" w:color="auto"/>
      </w:divBdr>
    </w:div>
    <w:div w:id="2020309816">
      <w:marLeft w:val="0"/>
      <w:marRight w:val="0"/>
      <w:marTop w:val="0"/>
      <w:marBottom w:val="0"/>
      <w:divBdr>
        <w:top w:val="none" w:sz="0" w:space="0" w:color="auto"/>
        <w:left w:val="none" w:sz="0" w:space="0" w:color="auto"/>
        <w:bottom w:val="none" w:sz="0" w:space="0" w:color="auto"/>
        <w:right w:val="none" w:sz="0" w:space="0" w:color="auto"/>
      </w:divBdr>
    </w:div>
    <w:div w:id="2020309817">
      <w:marLeft w:val="0"/>
      <w:marRight w:val="0"/>
      <w:marTop w:val="0"/>
      <w:marBottom w:val="0"/>
      <w:divBdr>
        <w:top w:val="none" w:sz="0" w:space="0" w:color="auto"/>
        <w:left w:val="none" w:sz="0" w:space="0" w:color="auto"/>
        <w:bottom w:val="none" w:sz="0" w:space="0" w:color="auto"/>
        <w:right w:val="none" w:sz="0" w:space="0" w:color="auto"/>
      </w:divBdr>
    </w:div>
    <w:div w:id="2020309818">
      <w:marLeft w:val="0"/>
      <w:marRight w:val="0"/>
      <w:marTop w:val="0"/>
      <w:marBottom w:val="0"/>
      <w:divBdr>
        <w:top w:val="none" w:sz="0" w:space="0" w:color="auto"/>
        <w:left w:val="none" w:sz="0" w:space="0" w:color="auto"/>
        <w:bottom w:val="none" w:sz="0" w:space="0" w:color="auto"/>
        <w:right w:val="none" w:sz="0" w:space="0" w:color="auto"/>
      </w:divBdr>
    </w:div>
    <w:div w:id="2020309819">
      <w:marLeft w:val="0"/>
      <w:marRight w:val="0"/>
      <w:marTop w:val="0"/>
      <w:marBottom w:val="0"/>
      <w:divBdr>
        <w:top w:val="none" w:sz="0" w:space="0" w:color="auto"/>
        <w:left w:val="none" w:sz="0" w:space="0" w:color="auto"/>
        <w:bottom w:val="none" w:sz="0" w:space="0" w:color="auto"/>
        <w:right w:val="none" w:sz="0" w:space="0" w:color="auto"/>
      </w:divBdr>
    </w:div>
    <w:div w:id="2020309820">
      <w:marLeft w:val="0"/>
      <w:marRight w:val="0"/>
      <w:marTop w:val="0"/>
      <w:marBottom w:val="0"/>
      <w:divBdr>
        <w:top w:val="none" w:sz="0" w:space="0" w:color="auto"/>
        <w:left w:val="none" w:sz="0" w:space="0" w:color="auto"/>
        <w:bottom w:val="none" w:sz="0" w:space="0" w:color="auto"/>
        <w:right w:val="none" w:sz="0" w:space="0" w:color="auto"/>
      </w:divBdr>
    </w:div>
    <w:div w:id="2020309821">
      <w:marLeft w:val="0"/>
      <w:marRight w:val="0"/>
      <w:marTop w:val="0"/>
      <w:marBottom w:val="0"/>
      <w:divBdr>
        <w:top w:val="none" w:sz="0" w:space="0" w:color="auto"/>
        <w:left w:val="none" w:sz="0" w:space="0" w:color="auto"/>
        <w:bottom w:val="none" w:sz="0" w:space="0" w:color="auto"/>
        <w:right w:val="none" w:sz="0" w:space="0" w:color="auto"/>
      </w:divBdr>
    </w:div>
    <w:div w:id="2020309822">
      <w:marLeft w:val="0"/>
      <w:marRight w:val="0"/>
      <w:marTop w:val="0"/>
      <w:marBottom w:val="0"/>
      <w:divBdr>
        <w:top w:val="none" w:sz="0" w:space="0" w:color="auto"/>
        <w:left w:val="none" w:sz="0" w:space="0" w:color="auto"/>
        <w:bottom w:val="none" w:sz="0" w:space="0" w:color="auto"/>
        <w:right w:val="none" w:sz="0" w:space="0" w:color="auto"/>
      </w:divBdr>
    </w:div>
    <w:div w:id="2020309823">
      <w:marLeft w:val="0"/>
      <w:marRight w:val="0"/>
      <w:marTop w:val="0"/>
      <w:marBottom w:val="0"/>
      <w:divBdr>
        <w:top w:val="none" w:sz="0" w:space="0" w:color="auto"/>
        <w:left w:val="none" w:sz="0" w:space="0" w:color="auto"/>
        <w:bottom w:val="none" w:sz="0" w:space="0" w:color="auto"/>
        <w:right w:val="none" w:sz="0" w:space="0" w:color="auto"/>
      </w:divBdr>
    </w:div>
    <w:div w:id="2020309824">
      <w:marLeft w:val="0"/>
      <w:marRight w:val="0"/>
      <w:marTop w:val="0"/>
      <w:marBottom w:val="0"/>
      <w:divBdr>
        <w:top w:val="none" w:sz="0" w:space="0" w:color="auto"/>
        <w:left w:val="none" w:sz="0" w:space="0" w:color="auto"/>
        <w:bottom w:val="none" w:sz="0" w:space="0" w:color="auto"/>
        <w:right w:val="none" w:sz="0" w:space="0" w:color="auto"/>
      </w:divBdr>
    </w:div>
    <w:div w:id="2020309825">
      <w:marLeft w:val="0"/>
      <w:marRight w:val="0"/>
      <w:marTop w:val="0"/>
      <w:marBottom w:val="0"/>
      <w:divBdr>
        <w:top w:val="none" w:sz="0" w:space="0" w:color="auto"/>
        <w:left w:val="none" w:sz="0" w:space="0" w:color="auto"/>
        <w:bottom w:val="none" w:sz="0" w:space="0" w:color="auto"/>
        <w:right w:val="none" w:sz="0" w:space="0" w:color="auto"/>
      </w:divBdr>
    </w:div>
    <w:div w:id="2020309826">
      <w:marLeft w:val="0"/>
      <w:marRight w:val="0"/>
      <w:marTop w:val="0"/>
      <w:marBottom w:val="0"/>
      <w:divBdr>
        <w:top w:val="none" w:sz="0" w:space="0" w:color="auto"/>
        <w:left w:val="none" w:sz="0" w:space="0" w:color="auto"/>
        <w:bottom w:val="none" w:sz="0" w:space="0" w:color="auto"/>
        <w:right w:val="none" w:sz="0" w:space="0" w:color="auto"/>
      </w:divBdr>
    </w:div>
    <w:div w:id="2020309827">
      <w:marLeft w:val="0"/>
      <w:marRight w:val="0"/>
      <w:marTop w:val="0"/>
      <w:marBottom w:val="0"/>
      <w:divBdr>
        <w:top w:val="none" w:sz="0" w:space="0" w:color="auto"/>
        <w:left w:val="none" w:sz="0" w:space="0" w:color="auto"/>
        <w:bottom w:val="none" w:sz="0" w:space="0" w:color="auto"/>
        <w:right w:val="none" w:sz="0" w:space="0" w:color="auto"/>
      </w:divBdr>
    </w:div>
    <w:div w:id="2020309828">
      <w:marLeft w:val="0"/>
      <w:marRight w:val="0"/>
      <w:marTop w:val="0"/>
      <w:marBottom w:val="0"/>
      <w:divBdr>
        <w:top w:val="none" w:sz="0" w:space="0" w:color="auto"/>
        <w:left w:val="none" w:sz="0" w:space="0" w:color="auto"/>
        <w:bottom w:val="none" w:sz="0" w:space="0" w:color="auto"/>
        <w:right w:val="none" w:sz="0" w:space="0" w:color="auto"/>
      </w:divBdr>
    </w:div>
    <w:div w:id="2020309829">
      <w:marLeft w:val="0"/>
      <w:marRight w:val="0"/>
      <w:marTop w:val="0"/>
      <w:marBottom w:val="0"/>
      <w:divBdr>
        <w:top w:val="none" w:sz="0" w:space="0" w:color="auto"/>
        <w:left w:val="none" w:sz="0" w:space="0" w:color="auto"/>
        <w:bottom w:val="none" w:sz="0" w:space="0" w:color="auto"/>
        <w:right w:val="none" w:sz="0" w:space="0" w:color="auto"/>
      </w:divBdr>
    </w:div>
    <w:div w:id="2020309830">
      <w:marLeft w:val="0"/>
      <w:marRight w:val="0"/>
      <w:marTop w:val="0"/>
      <w:marBottom w:val="0"/>
      <w:divBdr>
        <w:top w:val="none" w:sz="0" w:space="0" w:color="auto"/>
        <w:left w:val="none" w:sz="0" w:space="0" w:color="auto"/>
        <w:bottom w:val="none" w:sz="0" w:space="0" w:color="auto"/>
        <w:right w:val="none" w:sz="0" w:space="0" w:color="auto"/>
      </w:divBdr>
    </w:div>
    <w:div w:id="2020309831">
      <w:marLeft w:val="0"/>
      <w:marRight w:val="0"/>
      <w:marTop w:val="0"/>
      <w:marBottom w:val="0"/>
      <w:divBdr>
        <w:top w:val="none" w:sz="0" w:space="0" w:color="auto"/>
        <w:left w:val="none" w:sz="0" w:space="0" w:color="auto"/>
        <w:bottom w:val="none" w:sz="0" w:space="0" w:color="auto"/>
        <w:right w:val="none" w:sz="0" w:space="0" w:color="auto"/>
      </w:divBdr>
    </w:div>
    <w:div w:id="2020309832">
      <w:marLeft w:val="0"/>
      <w:marRight w:val="0"/>
      <w:marTop w:val="0"/>
      <w:marBottom w:val="0"/>
      <w:divBdr>
        <w:top w:val="none" w:sz="0" w:space="0" w:color="auto"/>
        <w:left w:val="none" w:sz="0" w:space="0" w:color="auto"/>
        <w:bottom w:val="none" w:sz="0" w:space="0" w:color="auto"/>
        <w:right w:val="none" w:sz="0" w:space="0" w:color="auto"/>
      </w:divBdr>
    </w:div>
    <w:div w:id="2020309833">
      <w:marLeft w:val="0"/>
      <w:marRight w:val="0"/>
      <w:marTop w:val="0"/>
      <w:marBottom w:val="0"/>
      <w:divBdr>
        <w:top w:val="none" w:sz="0" w:space="0" w:color="auto"/>
        <w:left w:val="none" w:sz="0" w:space="0" w:color="auto"/>
        <w:bottom w:val="none" w:sz="0" w:space="0" w:color="auto"/>
        <w:right w:val="none" w:sz="0" w:space="0" w:color="auto"/>
      </w:divBdr>
    </w:div>
    <w:div w:id="2020309834">
      <w:marLeft w:val="0"/>
      <w:marRight w:val="0"/>
      <w:marTop w:val="0"/>
      <w:marBottom w:val="0"/>
      <w:divBdr>
        <w:top w:val="none" w:sz="0" w:space="0" w:color="auto"/>
        <w:left w:val="none" w:sz="0" w:space="0" w:color="auto"/>
        <w:bottom w:val="none" w:sz="0" w:space="0" w:color="auto"/>
        <w:right w:val="none" w:sz="0" w:space="0" w:color="auto"/>
      </w:divBdr>
    </w:div>
    <w:div w:id="2020309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t.hr/eng/investitor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r@t.ht.h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t.hr" TargetMode="External"/><Relationship Id="rId4" Type="http://schemas.openxmlformats.org/officeDocument/2006/relationships/webSettings" Target="webSettings.xml"/><Relationship Id="rId9" Type="http://schemas.openxmlformats.org/officeDocument/2006/relationships/hyperlink" Target="http://www.t.ht.hr/investitor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14637</Words>
  <Characters>-32766</Characters>
  <Application>Microsoft Office Outlook</Application>
  <DocSecurity>0</DocSecurity>
  <Lines>0</Lines>
  <Paragraphs>0</Paragraphs>
  <ScaleCrop>false</ScaleCrop>
  <Company>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T-Com</dc:creator>
  <cp:keywords/>
  <dc:description/>
  <cp:lastModifiedBy>-dmin78</cp:lastModifiedBy>
  <cp:revision>2</cp:revision>
  <cp:lastPrinted>2011-10-27T22:06:00Z</cp:lastPrinted>
  <dcterms:created xsi:type="dcterms:W3CDTF">2011-10-27T22:48:00Z</dcterms:created>
  <dcterms:modified xsi:type="dcterms:W3CDTF">2011-10-27T22:48:00Z</dcterms:modified>
</cp:coreProperties>
</file>