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ATLANTIC GRUPA d.d.</w:t>
      </w:r>
    </w:p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Miramarska 23</w:t>
      </w:r>
    </w:p>
    <w:p w:rsidR="0041021C" w:rsidRPr="0041021C" w:rsidRDefault="0041021C" w:rsidP="0041021C">
      <w:pPr>
        <w:jc w:val="both"/>
        <w:rPr>
          <w:rFonts w:ascii="Arial" w:hAnsi="Arial" w:cs="Arial"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10 000 Zagreb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SECURITY: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41021C" w:rsidRPr="0041021C" w:rsidRDefault="0041021C" w:rsidP="0041021C">
      <w:pPr>
        <w:ind w:left="720" w:firstLine="720"/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41021C">
        <w:rPr>
          <w:rFonts w:ascii="Arial" w:hAnsi="Arial" w:cs="Arial"/>
          <w:color w:val="676767"/>
          <w:sz w:val="20"/>
        </w:rPr>
        <w:t>ISIN:HRATGRO169A0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hAnsi="Arial" w:cs="Arial"/>
          <w:color w:val="808080" w:themeColor="background1" w:themeShade="80"/>
          <w:sz w:val="20"/>
          <w:lang w:val="hr-HR"/>
        </w:rPr>
        <w:t>LISTING: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Zagreb Stock Exchange</w:t>
      </w:r>
    </w:p>
    <w:p w:rsidR="003F7332" w:rsidRDefault="003F7332" w:rsidP="003F7332">
      <w:pPr>
        <w:rPr>
          <w:rFonts w:ascii="Arial" w:hAnsi="Arial" w:cs="Arial"/>
          <w:b/>
          <w:sz w:val="20"/>
          <w:lang w:val="hr-HR"/>
        </w:rPr>
      </w:pPr>
    </w:p>
    <w:p w:rsidR="003F7332" w:rsidRDefault="003F7332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41021C" w:rsidRDefault="00483CEE" w:rsidP="00A51CDC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Zagreb, May 06</w:t>
      </w:r>
      <w:r w:rsidR="00DB2AF5">
        <w:rPr>
          <w:rFonts w:ascii="Arial" w:hAnsi="Arial" w:cs="Arial"/>
          <w:b/>
          <w:sz w:val="20"/>
          <w:lang w:val="hr-HR"/>
        </w:rPr>
        <w:t>, 2014</w:t>
      </w:r>
    </w:p>
    <w:p w:rsidR="00A51CDC" w:rsidRDefault="00A51CDC" w:rsidP="00A51CDC">
      <w:pPr>
        <w:rPr>
          <w:rFonts w:ascii="Arial" w:hAnsi="Arial" w:cs="Arial"/>
          <w:b/>
          <w:sz w:val="20"/>
          <w:lang w:val="hr-HR"/>
        </w:rPr>
      </w:pPr>
    </w:p>
    <w:p w:rsidR="00A51CDC" w:rsidRDefault="00A51CDC" w:rsidP="00A51CDC">
      <w:pPr>
        <w:rPr>
          <w:rFonts w:ascii="Arial" w:hAnsi="Arial" w:cs="Arial"/>
          <w:b/>
          <w:sz w:val="20"/>
          <w:lang w:val="hr-HR"/>
        </w:rPr>
      </w:pPr>
    </w:p>
    <w:p w:rsidR="006D2B68" w:rsidRDefault="006D2B68" w:rsidP="00A51CDC">
      <w:pPr>
        <w:rPr>
          <w:rFonts w:ascii="Arial" w:hAnsi="Arial" w:cs="Arial"/>
          <w:b/>
          <w:sz w:val="20"/>
          <w:lang w:val="hr-HR"/>
        </w:rPr>
      </w:pPr>
    </w:p>
    <w:p w:rsidR="006D2B68" w:rsidRDefault="006D2B68" w:rsidP="00A51CDC">
      <w:pPr>
        <w:rPr>
          <w:rFonts w:ascii="Arial" w:hAnsi="Arial" w:cs="Arial"/>
          <w:b/>
          <w:sz w:val="20"/>
          <w:lang w:val="hr-HR"/>
        </w:rPr>
      </w:pPr>
    </w:p>
    <w:p w:rsidR="00A55526" w:rsidRDefault="00A55526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E84043" w:rsidRPr="003D1646" w:rsidRDefault="00E84043" w:rsidP="00E84043">
      <w:pPr>
        <w:jc w:val="center"/>
        <w:rPr>
          <w:rFonts w:ascii="Arial" w:hAnsi="Arial" w:cs="Arial"/>
          <w:b/>
          <w:sz w:val="20"/>
          <w:lang w:val="hr-HR"/>
        </w:rPr>
      </w:pPr>
      <w:r w:rsidRPr="003D1646">
        <w:rPr>
          <w:rFonts w:ascii="Arial" w:hAnsi="Arial" w:cs="Arial"/>
          <w:b/>
          <w:sz w:val="20"/>
          <w:lang w:val="hr-HR"/>
        </w:rPr>
        <w:t>Announcement of the held session of the Supervisory Board</w:t>
      </w:r>
    </w:p>
    <w:p w:rsidR="00E84043" w:rsidRPr="003D1646" w:rsidRDefault="00E84043" w:rsidP="00E84043">
      <w:pPr>
        <w:jc w:val="center"/>
        <w:rPr>
          <w:rFonts w:ascii="Arial" w:hAnsi="Arial" w:cs="Arial"/>
          <w:b/>
          <w:sz w:val="20"/>
          <w:lang w:val="hr-HR"/>
        </w:rPr>
      </w:pPr>
    </w:p>
    <w:p w:rsidR="00E84043" w:rsidRPr="003D1646" w:rsidRDefault="00E84043" w:rsidP="00E84043">
      <w:pPr>
        <w:jc w:val="center"/>
        <w:rPr>
          <w:rFonts w:ascii="Arial" w:hAnsi="Arial" w:cs="Arial"/>
          <w:b/>
          <w:sz w:val="20"/>
          <w:lang w:val="hr-HR"/>
        </w:rPr>
      </w:pPr>
    </w:p>
    <w:p w:rsidR="00E84043" w:rsidRPr="003D1646" w:rsidRDefault="00E84043" w:rsidP="00E84043">
      <w:pPr>
        <w:jc w:val="center"/>
        <w:rPr>
          <w:rFonts w:ascii="Arial" w:hAnsi="Arial" w:cs="Arial"/>
          <w:sz w:val="20"/>
          <w:lang w:val="hr-HR"/>
        </w:rPr>
      </w:pPr>
    </w:p>
    <w:p w:rsidR="002A7986" w:rsidRPr="003D1646" w:rsidRDefault="00DB2AF5" w:rsidP="002A7986">
      <w:pPr>
        <w:jc w:val="both"/>
        <w:rPr>
          <w:rFonts w:ascii="Arial" w:hAnsi="Arial" w:cs="Arial"/>
          <w:sz w:val="20"/>
          <w:lang w:val="hr-HR"/>
        </w:rPr>
      </w:pPr>
      <w:r w:rsidRPr="003D1646">
        <w:rPr>
          <w:rFonts w:ascii="Arial" w:hAnsi="Arial" w:cs="Arial"/>
          <w:sz w:val="20"/>
          <w:lang w:val="hr-HR"/>
        </w:rPr>
        <w:t>Pursuant to Article 123</w:t>
      </w:r>
      <w:r w:rsidR="00E84043" w:rsidRPr="003D1646">
        <w:rPr>
          <w:rFonts w:ascii="Arial" w:hAnsi="Arial" w:cs="Arial"/>
          <w:sz w:val="20"/>
          <w:lang w:val="hr-HR"/>
        </w:rPr>
        <w:t>. of the Zagreb Stock Exchange Rules, Atlantic Grupa d.d. (hereon in the text: the Company) h</w:t>
      </w:r>
      <w:r w:rsidR="003D1646">
        <w:rPr>
          <w:rFonts w:ascii="Arial" w:hAnsi="Arial" w:cs="Arial"/>
          <w:sz w:val="20"/>
          <w:lang w:val="hr-HR"/>
        </w:rPr>
        <w:t>ereby announces that on May 05</w:t>
      </w:r>
      <w:r w:rsidRPr="003D1646">
        <w:rPr>
          <w:rFonts w:ascii="Arial" w:hAnsi="Arial" w:cs="Arial"/>
          <w:sz w:val="20"/>
          <w:lang w:val="hr-HR"/>
        </w:rPr>
        <w:t>, 2014</w:t>
      </w:r>
      <w:r w:rsidR="00E84043" w:rsidRPr="003D1646">
        <w:rPr>
          <w:rFonts w:ascii="Arial" w:hAnsi="Arial" w:cs="Arial"/>
          <w:sz w:val="20"/>
          <w:lang w:val="hr-HR"/>
        </w:rPr>
        <w:t>, the Supervisory Board of the Company held its session,</w:t>
      </w:r>
      <w:r w:rsidR="002A7986" w:rsidRPr="003D1646">
        <w:rPr>
          <w:rFonts w:ascii="Arial" w:hAnsi="Arial" w:cs="Arial"/>
          <w:sz w:val="20"/>
          <w:lang w:val="hr-HR"/>
        </w:rPr>
        <w:t xml:space="preserve"> during which proposals of Decisions, that shall be presented to the General Assembly for adoption, were considered and accepted.</w:t>
      </w:r>
    </w:p>
    <w:p w:rsidR="00116F83" w:rsidRPr="003D1646" w:rsidRDefault="00116F83" w:rsidP="002A7986">
      <w:pPr>
        <w:jc w:val="both"/>
        <w:rPr>
          <w:rFonts w:ascii="Arial" w:hAnsi="Arial" w:cs="Arial"/>
          <w:sz w:val="20"/>
          <w:lang w:val="hr-HR"/>
        </w:rPr>
      </w:pPr>
    </w:p>
    <w:p w:rsidR="00116F83" w:rsidRPr="003D1646" w:rsidRDefault="00116F83" w:rsidP="00814AA1">
      <w:pPr>
        <w:jc w:val="both"/>
        <w:rPr>
          <w:rFonts w:ascii="Arial" w:hAnsi="Arial" w:cs="Arial"/>
          <w:sz w:val="20"/>
        </w:rPr>
      </w:pPr>
      <w:r w:rsidRPr="003D1646">
        <w:rPr>
          <w:rFonts w:ascii="Arial" w:hAnsi="Arial" w:cs="Arial"/>
          <w:sz w:val="20"/>
          <w:lang w:val="hr-HR"/>
        </w:rPr>
        <w:t xml:space="preserve">Supervisory Board accepted the Proposal of the Management Board for the dividend payment </w:t>
      </w:r>
      <w:r w:rsidRPr="003D1646">
        <w:rPr>
          <w:rFonts w:ascii="Arial" w:hAnsi="Arial" w:cs="Arial"/>
          <w:sz w:val="20"/>
          <w:lang w:val="hr-HR"/>
        </w:rPr>
        <w:t xml:space="preserve">that shall be presented to the General Assembly for </w:t>
      </w:r>
      <w:r w:rsidRPr="003D1646">
        <w:rPr>
          <w:rFonts w:ascii="Arial" w:hAnsi="Arial" w:cs="Arial"/>
          <w:sz w:val="20"/>
          <w:lang w:val="hr-HR"/>
        </w:rPr>
        <w:t xml:space="preserve">its </w:t>
      </w:r>
      <w:r w:rsidRPr="003D1646">
        <w:rPr>
          <w:rFonts w:ascii="Arial" w:hAnsi="Arial" w:cs="Arial"/>
          <w:sz w:val="20"/>
          <w:lang w:val="hr-HR"/>
        </w:rPr>
        <w:t>adoption</w:t>
      </w:r>
      <w:r w:rsidRPr="003D1646">
        <w:rPr>
          <w:rFonts w:ascii="Arial" w:hAnsi="Arial" w:cs="Arial"/>
          <w:sz w:val="20"/>
          <w:lang w:val="hr-HR"/>
        </w:rPr>
        <w:t>.</w:t>
      </w:r>
      <w:r w:rsidR="00814AA1" w:rsidRPr="003D1646">
        <w:rPr>
          <w:rFonts w:ascii="Arial" w:hAnsi="Arial" w:cs="Arial"/>
          <w:sz w:val="20"/>
          <w:lang w:val="hr-HR"/>
        </w:rPr>
        <w:t xml:space="preserve"> It is proposed to distribute </w:t>
      </w:r>
      <w:r w:rsidR="000D27B4" w:rsidRPr="003D1646">
        <w:rPr>
          <w:rFonts w:ascii="Arial" w:hAnsi="Arial" w:cs="Arial"/>
          <w:sz w:val="20"/>
          <w:lang w:val="hr-HR"/>
        </w:rPr>
        <w:t xml:space="preserve">as dividends </w:t>
      </w:r>
      <w:r w:rsidR="00814AA1" w:rsidRPr="003D1646">
        <w:rPr>
          <w:rFonts w:ascii="Arial" w:hAnsi="Arial" w:cs="Arial"/>
          <w:sz w:val="20"/>
        </w:rPr>
        <w:t>the</w:t>
      </w:r>
      <w:r w:rsidRPr="003D1646">
        <w:rPr>
          <w:rFonts w:ascii="Arial" w:hAnsi="Arial" w:cs="Arial"/>
          <w:sz w:val="20"/>
        </w:rPr>
        <w:t xml:space="preserve"> </w:t>
      </w:r>
      <w:r w:rsidR="00814AA1" w:rsidRPr="003D1646">
        <w:rPr>
          <w:rFonts w:ascii="Arial" w:hAnsi="Arial" w:cs="Arial"/>
          <w:sz w:val="20"/>
        </w:rPr>
        <w:t xml:space="preserve">total </w:t>
      </w:r>
      <w:r w:rsidRPr="003D1646">
        <w:rPr>
          <w:rFonts w:ascii="Arial" w:hAnsi="Arial" w:cs="Arial"/>
          <w:sz w:val="20"/>
        </w:rPr>
        <w:t>amount of HRK 35.009.919,00</w:t>
      </w:r>
      <w:r w:rsidR="00814AA1" w:rsidRPr="003D1646">
        <w:rPr>
          <w:rFonts w:ascii="Arial" w:hAnsi="Arial" w:cs="Arial"/>
          <w:sz w:val="20"/>
        </w:rPr>
        <w:t xml:space="preserve">, </w:t>
      </w:r>
      <w:r w:rsidRPr="003D1646">
        <w:rPr>
          <w:rFonts w:ascii="Arial" w:hAnsi="Arial" w:cs="Arial"/>
          <w:sz w:val="20"/>
        </w:rPr>
        <w:t>i.e. HRK 10</w:t>
      </w:r>
      <w:proofErr w:type="gramStart"/>
      <w:r w:rsidRPr="003D1646">
        <w:rPr>
          <w:rFonts w:ascii="Arial" w:hAnsi="Arial" w:cs="Arial"/>
          <w:sz w:val="20"/>
        </w:rPr>
        <w:t>,50</w:t>
      </w:r>
      <w:proofErr w:type="gramEnd"/>
      <w:r w:rsidR="00814AA1" w:rsidRPr="003D1646">
        <w:rPr>
          <w:rFonts w:ascii="Arial" w:hAnsi="Arial" w:cs="Arial"/>
          <w:sz w:val="20"/>
        </w:rPr>
        <w:t xml:space="preserve"> per share,</w:t>
      </w:r>
      <w:r w:rsidRPr="003D1646">
        <w:rPr>
          <w:rFonts w:ascii="Arial" w:hAnsi="Arial" w:cs="Arial"/>
          <w:sz w:val="20"/>
        </w:rPr>
        <w:t xml:space="preserve"> to the shareholders of the Company in proportion to the number of </w:t>
      </w:r>
      <w:r w:rsidR="00814AA1" w:rsidRPr="003D1646">
        <w:rPr>
          <w:rFonts w:ascii="Arial" w:hAnsi="Arial" w:cs="Arial"/>
          <w:sz w:val="20"/>
        </w:rPr>
        <w:t xml:space="preserve">shares held by each shareholder, </w:t>
      </w:r>
      <w:r w:rsidR="000D27B4" w:rsidRPr="003D1646">
        <w:rPr>
          <w:rFonts w:ascii="Arial" w:hAnsi="Arial" w:cs="Arial"/>
          <w:sz w:val="20"/>
        </w:rPr>
        <w:t xml:space="preserve">paid from the part of the retained earnings of the Company realized in the business year 2010, </w:t>
      </w:r>
      <w:r w:rsidR="00814AA1" w:rsidRPr="003D1646">
        <w:rPr>
          <w:rFonts w:ascii="Arial" w:hAnsi="Arial" w:cs="Arial"/>
          <w:sz w:val="20"/>
        </w:rPr>
        <w:t xml:space="preserve">with the proposed payment date on July 16, 2014. </w:t>
      </w:r>
    </w:p>
    <w:p w:rsidR="00116F83" w:rsidRPr="003D1646" w:rsidRDefault="00116F83" w:rsidP="002A7986">
      <w:pPr>
        <w:jc w:val="both"/>
        <w:rPr>
          <w:rFonts w:ascii="Arial" w:hAnsi="Arial" w:cs="Arial"/>
          <w:sz w:val="20"/>
        </w:rPr>
      </w:pPr>
    </w:p>
    <w:p w:rsidR="000D27B4" w:rsidRPr="003D1646" w:rsidRDefault="000D27B4" w:rsidP="003D1646">
      <w:pPr>
        <w:ind w:right="-180"/>
        <w:jc w:val="both"/>
        <w:rPr>
          <w:rFonts w:ascii="Arial" w:hAnsi="Arial" w:cs="Arial"/>
          <w:sz w:val="20"/>
        </w:rPr>
      </w:pPr>
      <w:r w:rsidRPr="003D1646">
        <w:rPr>
          <w:rFonts w:ascii="Arial" w:hAnsi="Arial" w:cs="Arial"/>
          <w:sz w:val="20"/>
        </w:rPr>
        <w:t xml:space="preserve">Also, the Supervisory Board accepted the Proposal of the Management Board for granting an authorization to the Management Board to acquire treasury shares </w:t>
      </w:r>
      <w:r w:rsidR="006F27EB">
        <w:rPr>
          <w:rFonts w:ascii="Arial" w:hAnsi="Arial" w:cs="Arial"/>
          <w:sz w:val="20"/>
        </w:rPr>
        <w:t>of the Company o</w:t>
      </w:r>
      <w:bookmarkStart w:id="0" w:name="_GoBack"/>
      <w:bookmarkEnd w:id="0"/>
      <w:r w:rsidRPr="003D1646">
        <w:rPr>
          <w:rFonts w:ascii="Arial" w:hAnsi="Arial" w:cs="Arial"/>
          <w:sz w:val="20"/>
        </w:rPr>
        <w:t>n the organized capital market during the period of 5 years</w:t>
      </w:r>
      <w:r w:rsidR="003D1646" w:rsidRPr="003D1646">
        <w:rPr>
          <w:rFonts w:ascii="Arial" w:hAnsi="Arial" w:cs="Arial"/>
          <w:sz w:val="20"/>
        </w:rPr>
        <w:t xml:space="preserve"> and the Proposal for the exclusion of pre-emption rights of existing shareholders upon disposal of treasury shares</w:t>
      </w:r>
      <w:r w:rsidRPr="003D1646">
        <w:rPr>
          <w:rFonts w:ascii="Arial" w:hAnsi="Arial" w:cs="Arial"/>
          <w:sz w:val="20"/>
        </w:rPr>
        <w:t>,</w:t>
      </w:r>
      <w:r w:rsidR="003D1646" w:rsidRPr="003D1646">
        <w:rPr>
          <w:rFonts w:ascii="Arial" w:hAnsi="Arial" w:cs="Arial"/>
          <w:sz w:val="20"/>
        </w:rPr>
        <w:t xml:space="preserve"> </w:t>
      </w:r>
      <w:r w:rsidRPr="003D1646">
        <w:rPr>
          <w:rFonts w:ascii="Arial" w:hAnsi="Arial" w:cs="Arial"/>
          <w:sz w:val="20"/>
          <w:lang w:val="hr-HR"/>
        </w:rPr>
        <w:t xml:space="preserve">that shall be presented to the General Assembly for </w:t>
      </w:r>
      <w:r w:rsidR="003D1646" w:rsidRPr="003D1646">
        <w:rPr>
          <w:rFonts w:ascii="Arial" w:hAnsi="Arial" w:cs="Arial"/>
          <w:sz w:val="20"/>
          <w:lang w:val="hr-HR"/>
        </w:rPr>
        <w:t>their</w:t>
      </w:r>
      <w:r w:rsidRPr="003D1646">
        <w:rPr>
          <w:rFonts w:ascii="Arial" w:hAnsi="Arial" w:cs="Arial"/>
          <w:sz w:val="20"/>
          <w:lang w:val="hr-HR"/>
        </w:rPr>
        <w:t xml:space="preserve"> adoption.</w:t>
      </w:r>
      <w:r w:rsidRPr="003D1646">
        <w:rPr>
          <w:rFonts w:ascii="Arial" w:hAnsi="Arial" w:cs="Arial"/>
          <w:sz w:val="20"/>
          <w:lang w:val="hr-HR"/>
        </w:rPr>
        <w:t xml:space="preserve"> </w:t>
      </w:r>
    </w:p>
    <w:p w:rsidR="00E84043" w:rsidRPr="003D1646" w:rsidRDefault="00E84043" w:rsidP="00E84043">
      <w:pPr>
        <w:jc w:val="both"/>
        <w:rPr>
          <w:rFonts w:ascii="Arial" w:hAnsi="Arial" w:cs="Arial"/>
          <w:sz w:val="20"/>
          <w:lang w:val="hr-HR"/>
        </w:rPr>
      </w:pPr>
    </w:p>
    <w:p w:rsidR="00E84043" w:rsidRPr="003D1646" w:rsidRDefault="00E84043" w:rsidP="00E84043">
      <w:pPr>
        <w:jc w:val="both"/>
        <w:rPr>
          <w:rFonts w:ascii="Arial" w:hAnsi="Arial" w:cs="Arial"/>
          <w:sz w:val="20"/>
          <w:lang w:val="hr-HR"/>
        </w:rPr>
      </w:pPr>
    </w:p>
    <w:p w:rsidR="00E84043" w:rsidRPr="003D1646" w:rsidRDefault="00E84043" w:rsidP="00E84043">
      <w:pPr>
        <w:jc w:val="both"/>
        <w:rPr>
          <w:rFonts w:ascii="Arial" w:hAnsi="Arial" w:cs="Arial"/>
          <w:sz w:val="20"/>
          <w:lang w:val="hr-HR"/>
        </w:rPr>
      </w:pPr>
      <w:r w:rsidRPr="003D1646">
        <w:rPr>
          <w:rFonts w:ascii="Arial" w:hAnsi="Arial" w:cs="Arial"/>
          <w:sz w:val="20"/>
          <w:lang w:val="hr-HR"/>
        </w:rPr>
        <w:br/>
      </w:r>
      <w:r w:rsidRPr="003D1646">
        <w:rPr>
          <w:rFonts w:ascii="Arial" w:hAnsi="Arial" w:cs="Arial"/>
          <w:sz w:val="20"/>
          <w:lang w:val="hr-HR"/>
        </w:rPr>
        <w:br/>
        <w:t>Atlantic Grupa d.d.</w:t>
      </w:r>
    </w:p>
    <w:p w:rsidR="000049A9" w:rsidRPr="004C697D" w:rsidRDefault="000049A9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0049A9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25" w:rsidRDefault="00C31925">
      <w:r>
        <w:separator/>
      </w:r>
    </w:p>
  </w:endnote>
  <w:endnote w:type="continuationSeparator" w:id="0">
    <w:p w:rsidR="00C31925" w:rsidRDefault="00C3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A9" w:rsidRPr="00C83E3C" w:rsidRDefault="005213E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A9" w:rsidRDefault="000049A9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25" w:rsidRDefault="00C31925">
      <w:r>
        <w:separator/>
      </w:r>
    </w:p>
  </w:footnote>
  <w:footnote w:type="continuationSeparator" w:id="0">
    <w:p w:rsidR="00C31925" w:rsidRDefault="00C3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A9" w:rsidRDefault="000049A9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A9" w:rsidRPr="00B33E77" w:rsidRDefault="005213E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F4F48"/>
    <w:multiLevelType w:val="hybridMultilevel"/>
    <w:tmpl w:val="3EE08100"/>
    <w:lvl w:ilvl="0" w:tplc="45E6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73B8D"/>
    <w:multiLevelType w:val="hybridMultilevel"/>
    <w:tmpl w:val="C434B18A"/>
    <w:lvl w:ilvl="0" w:tplc="C40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3C"/>
    <w:rsid w:val="00000F84"/>
    <w:rsid w:val="000049A9"/>
    <w:rsid w:val="00013D8E"/>
    <w:rsid w:val="0002022E"/>
    <w:rsid w:val="000418C1"/>
    <w:rsid w:val="00044F42"/>
    <w:rsid w:val="00050D8B"/>
    <w:rsid w:val="000528F9"/>
    <w:rsid w:val="00056D89"/>
    <w:rsid w:val="00063BC5"/>
    <w:rsid w:val="000879B9"/>
    <w:rsid w:val="00090A0C"/>
    <w:rsid w:val="00094305"/>
    <w:rsid w:val="000A5BB4"/>
    <w:rsid w:val="000B3F78"/>
    <w:rsid w:val="000C1A7E"/>
    <w:rsid w:val="000D0B10"/>
    <w:rsid w:val="000D1F58"/>
    <w:rsid w:val="000D27B4"/>
    <w:rsid w:val="000F76FF"/>
    <w:rsid w:val="0010740C"/>
    <w:rsid w:val="00116F83"/>
    <w:rsid w:val="00124E54"/>
    <w:rsid w:val="00154F29"/>
    <w:rsid w:val="00155D8E"/>
    <w:rsid w:val="00164EE4"/>
    <w:rsid w:val="001739DF"/>
    <w:rsid w:val="00184DE9"/>
    <w:rsid w:val="00187696"/>
    <w:rsid w:val="0019090C"/>
    <w:rsid w:val="001A0022"/>
    <w:rsid w:val="001B081B"/>
    <w:rsid w:val="001D2737"/>
    <w:rsid w:val="001E4E3A"/>
    <w:rsid w:val="002057F0"/>
    <w:rsid w:val="00205C2D"/>
    <w:rsid w:val="00227ADC"/>
    <w:rsid w:val="002436C3"/>
    <w:rsid w:val="00261500"/>
    <w:rsid w:val="002A692C"/>
    <w:rsid w:val="002A7986"/>
    <w:rsid w:val="002C2365"/>
    <w:rsid w:val="002E4E64"/>
    <w:rsid w:val="002F169F"/>
    <w:rsid w:val="002F1E1F"/>
    <w:rsid w:val="00333518"/>
    <w:rsid w:val="0033370F"/>
    <w:rsid w:val="00342AC9"/>
    <w:rsid w:val="00381904"/>
    <w:rsid w:val="003C3194"/>
    <w:rsid w:val="003D0C97"/>
    <w:rsid w:val="003D1646"/>
    <w:rsid w:val="003D5FB2"/>
    <w:rsid w:val="003E5782"/>
    <w:rsid w:val="003F7332"/>
    <w:rsid w:val="0041021C"/>
    <w:rsid w:val="00420868"/>
    <w:rsid w:val="0043563D"/>
    <w:rsid w:val="00444E9D"/>
    <w:rsid w:val="00483A28"/>
    <w:rsid w:val="00483CEE"/>
    <w:rsid w:val="004C697D"/>
    <w:rsid w:val="004D3D0E"/>
    <w:rsid w:val="004D5369"/>
    <w:rsid w:val="004F4712"/>
    <w:rsid w:val="005062C0"/>
    <w:rsid w:val="005078AF"/>
    <w:rsid w:val="00511038"/>
    <w:rsid w:val="005213E4"/>
    <w:rsid w:val="0054395E"/>
    <w:rsid w:val="00546D91"/>
    <w:rsid w:val="00556E1A"/>
    <w:rsid w:val="00557FC5"/>
    <w:rsid w:val="005A29FF"/>
    <w:rsid w:val="005A44D6"/>
    <w:rsid w:val="005B5157"/>
    <w:rsid w:val="005C69BF"/>
    <w:rsid w:val="005D763F"/>
    <w:rsid w:val="005F70F1"/>
    <w:rsid w:val="00620E4C"/>
    <w:rsid w:val="00627B90"/>
    <w:rsid w:val="0063074B"/>
    <w:rsid w:val="00645ABB"/>
    <w:rsid w:val="00653AF2"/>
    <w:rsid w:val="006650A3"/>
    <w:rsid w:val="00686AC3"/>
    <w:rsid w:val="00696F9E"/>
    <w:rsid w:val="006A2746"/>
    <w:rsid w:val="006A36C6"/>
    <w:rsid w:val="006B13FF"/>
    <w:rsid w:val="006C19A9"/>
    <w:rsid w:val="006C7ABA"/>
    <w:rsid w:val="006D0B39"/>
    <w:rsid w:val="006D2B68"/>
    <w:rsid w:val="006F27EB"/>
    <w:rsid w:val="006F38F6"/>
    <w:rsid w:val="00721BAB"/>
    <w:rsid w:val="00752A0E"/>
    <w:rsid w:val="00764958"/>
    <w:rsid w:val="00773E8E"/>
    <w:rsid w:val="0079423E"/>
    <w:rsid w:val="007D4202"/>
    <w:rsid w:val="007D5158"/>
    <w:rsid w:val="007D5359"/>
    <w:rsid w:val="007E0C15"/>
    <w:rsid w:val="007E77AE"/>
    <w:rsid w:val="00812C45"/>
    <w:rsid w:val="008144EA"/>
    <w:rsid w:val="00814AA1"/>
    <w:rsid w:val="00815BB9"/>
    <w:rsid w:val="00820DBA"/>
    <w:rsid w:val="00823B97"/>
    <w:rsid w:val="00842073"/>
    <w:rsid w:val="0085284C"/>
    <w:rsid w:val="008544A0"/>
    <w:rsid w:val="00867402"/>
    <w:rsid w:val="00871BC3"/>
    <w:rsid w:val="00886569"/>
    <w:rsid w:val="0089059D"/>
    <w:rsid w:val="008911F6"/>
    <w:rsid w:val="008A19C4"/>
    <w:rsid w:val="008A3AFD"/>
    <w:rsid w:val="008B15E5"/>
    <w:rsid w:val="008E386E"/>
    <w:rsid w:val="00900348"/>
    <w:rsid w:val="00907883"/>
    <w:rsid w:val="00912148"/>
    <w:rsid w:val="00921E0A"/>
    <w:rsid w:val="0092239C"/>
    <w:rsid w:val="009323B6"/>
    <w:rsid w:val="0095018A"/>
    <w:rsid w:val="00956063"/>
    <w:rsid w:val="0096725A"/>
    <w:rsid w:val="009926DD"/>
    <w:rsid w:val="00996F01"/>
    <w:rsid w:val="009A5A10"/>
    <w:rsid w:val="009A5C09"/>
    <w:rsid w:val="009B3DB5"/>
    <w:rsid w:val="009C285D"/>
    <w:rsid w:val="009C5F18"/>
    <w:rsid w:val="009C76F2"/>
    <w:rsid w:val="009D211D"/>
    <w:rsid w:val="009E0BA2"/>
    <w:rsid w:val="00A043F3"/>
    <w:rsid w:val="00A15B56"/>
    <w:rsid w:val="00A27695"/>
    <w:rsid w:val="00A31B41"/>
    <w:rsid w:val="00A325A7"/>
    <w:rsid w:val="00A43392"/>
    <w:rsid w:val="00A47C09"/>
    <w:rsid w:val="00A51CDC"/>
    <w:rsid w:val="00A523ED"/>
    <w:rsid w:val="00A55526"/>
    <w:rsid w:val="00A573EB"/>
    <w:rsid w:val="00A578CF"/>
    <w:rsid w:val="00A7225C"/>
    <w:rsid w:val="00A83D6E"/>
    <w:rsid w:val="00A878E6"/>
    <w:rsid w:val="00AB30F3"/>
    <w:rsid w:val="00AD3693"/>
    <w:rsid w:val="00AD484A"/>
    <w:rsid w:val="00AE11EF"/>
    <w:rsid w:val="00B26311"/>
    <w:rsid w:val="00B33E77"/>
    <w:rsid w:val="00B358F7"/>
    <w:rsid w:val="00B36BBA"/>
    <w:rsid w:val="00B42389"/>
    <w:rsid w:val="00B44BE9"/>
    <w:rsid w:val="00B46C73"/>
    <w:rsid w:val="00B51CE3"/>
    <w:rsid w:val="00B618A4"/>
    <w:rsid w:val="00B626C9"/>
    <w:rsid w:val="00B8402A"/>
    <w:rsid w:val="00B843D5"/>
    <w:rsid w:val="00BA1833"/>
    <w:rsid w:val="00BE1A59"/>
    <w:rsid w:val="00BF2687"/>
    <w:rsid w:val="00C10669"/>
    <w:rsid w:val="00C10CD8"/>
    <w:rsid w:val="00C12281"/>
    <w:rsid w:val="00C13172"/>
    <w:rsid w:val="00C31925"/>
    <w:rsid w:val="00C46614"/>
    <w:rsid w:val="00C53536"/>
    <w:rsid w:val="00C55A74"/>
    <w:rsid w:val="00C74C38"/>
    <w:rsid w:val="00C75B74"/>
    <w:rsid w:val="00C77886"/>
    <w:rsid w:val="00C83E3C"/>
    <w:rsid w:val="00CA330F"/>
    <w:rsid w:val="00CB1686"/>
    <w:rsid w:val="00CB2AB2"/>
    <w:rsid w:val="00CC193F"/>
    <w:rsid w:val="00CC1F72"/>
    <w:rsid w:val="00CC3209"/>
    <w:rsid w:val="00CE121D"/>
    <w:rsid w:val="00D16D5F"/>
    <w:rsid w:val="00D263A4"/>
    <w:rsid w:val="00D5029C"/>
    <w:rsid w:val="00D5481D"/>
    <w:rsid w:val="00DB2AF5"/>
    <w:rsid w:val="00DB36DC"/>
    <w:rsid w:val="00DE4517"/>
    <w:rsid w:val="00DE7CBB"/>
    <w:rsid w:val="00DF67FC"/>
    <w:rsid w:val="00E013A5"/>
    <w:rsid w:val="00E1458C"/>
    <w:rsid w:val="00E27050"/>
    <w:rsid w:val="00E272B7"/>
    <w:rsid w:val="00E748F6"/>
    <w:rsid w:val="00E84043"/>
    <w:rsid w:val="00E87E8B"/>
    <w:rsid w:val="00EB0F4D"/>
    <w:rsid w:val="00EC2BB7"/>
    <w:rsid w:val="00EC3598"/>
    <w:rsid w:val="00EC4A8D"/>
    <w:rsid w:val="00EC58A4"/>
    <w:rsid w:val="00EC76D9"/>
    <w:rsid w:val="00ED5542"/>
    <w:rsid w:val="00EE4D48"/>
    <w:rsid w:val="00EF0670"/>
    <w:rsid w:val="00F029D7"/>
    <w:rsid w:val="00F14B05"/>
    <w:rsid w:val="00F71ED9"/>
    <w:rsid w:val="00F7799A"/>
    <w:rsid w:val="00F779B2"/>
    <w:rsid w:val="00F95973"/>
    <w:rsid w:val="00F97E01"/>
    <w:rsid w:val="00FA2CD8"/>
    <w:rsid w:val="00FE1029"/>
    <w:rsid w:val="00FE2C26"/>
    <w:rsid w:val="00FE5F35"/>
    <w:rsid w:val="00FF21D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9B99EC-66BA-47B5-8787-E64B4EB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Katarina Mindoljević</cp:lastModifiedBy>
  <cp:revision>4</cp:revision>
  <cp:lastPrinted>2013-02-13T14:06:00Z</cp:lastPrinted>
  <dcterms:created xsi:type="dcterms:W3CDTF">2014-05-04T22:40:00Z</dcterms:created>
  <dcterms:modified xsi:type="dcterms:W3CDTF">2014-05-05T21:54:00Z</dcterms:modified>
</cp:coreProperties>
</file>