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A9" w:rsidRPr="00F17107" w:rsidRDefault="006E22A9" w:rsidP="006E22A9">
      <w:pPr>
        <w:jc w:val="center"/>
        <w:rPr>
          <w:rFonts w:ascii="Arial" w:hAnsi="Arial" w:cs="Arial"/>
        </w:rPr>
      </w:pPr>
      <w:r w:rsidRPr="00F17107">
        <w:rPr>
          <w:rFonts w:ascii="Arial" w:hAnsi="Arial" w:cs="Arial"/>
          <w:noProof/>
        </w:rPr>
        <w:drawing>
          <wp:inline distT="0" distB="0" distL="0" distR="0">
            <wp:extent cx="743585" cy="859790"/>
            <wp:effectExtent l="0" t="0" r="0" b="0"/>
            <wp:docPr id="1" name="Slika 1" descr="Opis: Opis: ad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adr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A9" w:rsidRPr="00F17107" w:rsidRDefault="006E22A9" w:rsidP="006E22A9">
      <w:pPr>
        <w:jc w:val="right"/>
        <w:rPr>
          <w:rFonts w:ascii="Arial" w:hAnsi="Arial" w:cs="Arial"/>
        </w:rPr>
      </w:pPr>
    </w:p>
    <w:p w:rsidR="006E22A9" w:rsidRDefault="006E22A9" w:rsidP="006E22A9">
      <w:pPr>
        <w:jc w:val="right"/>
        <w:rPr>
          <w:rFonts w:ascii="Arial" w:hAnsi="Arial" w:cs="Arial"/>
        </w:rPr>
      </w:pPr>
    </w:p>
    <w:p w:rsidR="006E22A9" w:rsidRPr="00F17107" w:rsidRDefault="006E22A9" w:rsidP="006E22A9">
      <w:pPr>
        <w:jc w:val="right"/>
        <w:rPr>
          <w:rFonts w:ascii="Arial" w:hAnsi="Arial" w:cs="Arial"/>
        </w:rPr>
      </w:pPr>
    </w:p>
    <w:p w:rsidR="006E22A9" w:rsidRPr="00456D47" w:rsidRDefault="006E22A9" w:rsidP="006E22A9">
      <w:pPr>
        <w:rPr>
          <w:rFonts w:ascii="Arial" w:hAnsi="Arial" w:cs="Arial"/>
        </w:rPr>
      </w:pPr>
    </w:p>
    <w:p w:rsidR="006E22A9" w:rsidRPr="00456D47" w:rsidRDefault="006E22A9" w:rsidP="006E22A9">
      <w:pPr>
        <w:jc w:val="right"/>
        <w:rPr>
          <w:rFonts w:ascii="Arial" w:hAnsi="Arial" w:cs="Arial"/>
          <w:b/>
        </w:rPr>
      </w:pPr>
      <w:r w:rsidRPr="00456D47">
        <w:rPr>
          <w:rFonts w:ascii="Arial" w:hAnsi="Arial" w:cs="Arial"/>
          <w:b/>
        </w:rPr>
        <w:t>Objava za medije</w:t>
      </w:r>
    </w:p>
    <w:p w:rsidR="006E22A9" w:rsidRPr="00456D47" w:rsidRDefault="006E22A9" w:rsidP="006E22A9">
      <w:pPr>
        <w:rPr>
          <w:rFonts w:ascii="Arial" w:hAnsi="Arial" w:cs="Arial"/>
          <w:i/>
          <w:sz w:val="22"/>
          <w:szCs w:val="22"/>
        </w:rPr>
      </w:pPr>
      <w:r w:rsidRPr="00456D47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456D47">
        <w:rPr>
          <w:rFonts w:ascii="Arial" w:hAnsi="Arial" w:cs="Arial"/>
          <w:i/>
          <w:sz w:val="22"/>
          <w:szCs w:val="22"/>
        </w:rPr>
        <w:t>za trenutnu objavu</w:t>
      </w:r>
    </w:p>
    <w:p w:rsidR="006E22A9" w:rsidRPr="00456D47" w:rsidRDefault="006E22A9" w:rsidP="006E22A9">
      <w:pPr>
        <w:rPr>
          <w:rFonts w:ascii="Arial" w:hAnsi="Arial" w:cs="Arial"/>
          <w:b/>
        </w:rPr>
      </w:pPr>
    </w:p>
    <w:p w:rsidR="006E22A9" w:rsidRPr="00456D47" w:rsidRDefault="006E22A9" w:rsidP="006E22A9">
      <w:pPr>
        <w:rPr>
          <w:rFonts w:ascii="Arial" w:hAnsi="Arial" w:cs="Arial"/>
          <w:b/>
        </w:rPr>
      </w:pPr>
    </w:p>
    <w:p w:rsidR="006E22A9" w:rsidRPr="00456D47" w:rsidRDefault="006E22A9" w:rsidP="006E22A9">
      <w:pPr>
        <w:jc w:val="center"/>
        <w:rPr>
          <w:rFonts w:ascii="Arial" w:hAnsi="Arial" w:cs="Arial"/>
          <w:b/>
        </w:rPr>
      </w:pPr>
      <w:r w:rsidRPr="00456D47">
        <w:rPr>
          <w:rFonts w:ascii="Arial" w:hAnsi="Arial" w:cs="Arial"/>
          <w:b/>
        </w:rPr>
        <w:t xml:space="preserve">Sve </w:t>
      </w:r>
      <w:proofErr w:type="spellStart"/>
      <w:r w:rsidRPr="00456D47">
        <w:rPr>
          <w:rFonts w:ascii="Arial" w:hAnsi="Arial" w:cs="Arial"/>
          <w:b/>
        </w:rPr>
        <w:t>Adrisove</w:t>
      </w:r>
      <w:proofErr w:type="spellEnd"/>
      <w:r w:rsidRPr="00456D47">
        <w:rPr>
          <w:rFonts w:ascii="Arial" w:hAnsi="Arial" w:cs="Arial"/>
          <w:b/>
        </w:rPr>
        <w:t xml:space="preserve"> tvrtke uspješno posluju</w:t>
      </w:r>
    </w:p>
    <w:p w:rsidR="006E22A9" w:rsidRPr="00456D47" w:rsidRDefault="006E22A9" w:rsidP="006E22A9">
      <w:pPr>
        <w:jc w:val="center"/>
        <w:rPr>
          <w:rFonts w:ascii="Arial" w:hAnsi="Arial" w:cs="Arial"/>
          <w:sz w:val="20"/>
          <w:szCs w:val="20"/>
        </w:rPr>
      </w:pPr>
    </w:p>
    <w:p w:rsidR="006E22A9" w:rsidRPr="00456D47" w:rsidRDefault="006E22A9" w:rsidP="006E22A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56D47">
        <w:rPr>
          <w:rFonts w:ascii="Arial" w:hAnsi="Arial" w:cs="Arial"/>
          <w:i/>
          <w:sz w:val="20"/>
          <w:szCs w:val="20"/>
        </w:rPr>
        <w:t xml:space="preserve">Maistra je u prvih šest mjeseci 2016. </w:t>
      </w:r>
      <w:r w:rsidRPr="00456D47">
        <w:rPr>
          <w:rFonts w:ascii="Arial" w:eastAsia="Calibri" w:hAnsi="Arial" w:cs="Arial"/>
          <w:i/>
          <w:sz w:val="20"/>
          <w:szCs w:val="20"/>
        </w:rPr>
        <w:t>ostvarila povećanje prosječne cijene noćenja od osam posto, što je dovelo do rasta poslovnih prihoda od pet posto. *</w:t>
      </w:r>
      <w:r w:rsidRPr="00456D47">
        <w:rPr>
          <w:rFonts w:ascii="Arial" w:hAnsi="Arial" w:cs="Arial"/>
          <w:i/>
        </w:rPr>
        <w:t xml:space="preserve"> </w:t>
      </w:r>
      <w:proofErr w:type="spellStart"/>
      <w:r w:rsidRPr="00456D47">
        <w:rPr>
          <w:rFonts w:ascii="Arial" w:hAnsi="Arial" w:cs="Arial"/>
          <w:i/>
          <w:sz w:val="20"/>
          <w:szCs w:val="20"/>
        </w:rPr>
        <w:t>Cromaris</w:t>
      </w:r>
      <w:proofErr w:type="spellEnd"/>
      <w:r w:rsidRPr="00456D47">
        <w:rPr>
          <w:rFonts w:ascii="Arial" w:hAnsi="Arial" w:cs="Arial"/>
          <w:i/>
          <w:sz w:val="20"/>
          <w:szCs w:val="20"/>
        </w:rPr>
        <w:t xml:space="preserve"> je u prvom polugodištu 2016. godine ostvario 11 posto veću prodaju. Izvoz je porastao 16 posto, od čega najviše na njemačkom tržištu. Gotovo 80 posto prodaje </w:t>
      </w:r>
      <w:proofErr w:type="spellStart"/>
      <w:r w:rsidRPr="00456D47">
        <w:rPr>
          <w:rFonts w:ascii="Arial" w:hAnsi="Arial" w:cs="Arial"/>
          <w:i/>
          <w:sz w:val="20"/>
          <w:szCs w:val="20"/>
        </w:rPr>
        <w:t>Cromaris</w:t>
      </w:r>
      <w:proofErr w:type="spellEnd"/>
      <w:r w:rsidRPr="00456D47">
        <w:rPr>
          <w:rFonts w:ascii="Arial" w:hAnsi="Arial" w:cs="Arial"/>
          <w:i/>
          <w:sz w:val="20"/>
          <w:szCs w:val="20"/>
        </w:rPr>
        <w:t xml:space="preserve"> ostvaruje na inozemnim tržištima. *U prvih šest mjeseci CO grupa ostvarila je dobit prije poreza u iznosu od 82 milijuna kuna, dok je u istom prošlogodišnjem razdoblju ostvarena dobit od 57 milijuna kuna, što predstavlja rast od 44 posto. Neto dobit iznosi 62 milijuna kuna, što je 55 posto više od ostvarenja u prvom polugodištu 2015. godine</w:t>
      </w:r>
    </w:p>
    <w:p w:rsidR="006E22A9" w:rsidRPr="00456D47" w:rsidRDefault="006E22A9" w:rsidP="006E22A9">
      <w:pPr>
        <w:rPr>
          <w:rFonts w:ascii="Arial" w:hAnsi="Arial" w:cs="Arial"/>
          <w:b/>
        </w:rPr>
      </w:pPr>
    </w:p>
    <w:p w:rsidR="006E22A9" w:rsidRPr="00456D47" w:rsidRDefault="006E22A9" w:rsidP="006E22A9">
      <w:pPr>
        <w:rPr>
          <w:rFonts w:ascii="Arial" w:hAnsi="Arial" w:cs="Arial"/>
          <w:b/>
        </w:rPr>
      </w:pPr>
    </w:p>
    <w:p w:rsidR="006E22A9" w:rsidRPr="00456D47" w:rsidRDefault="006E22A9" w:rsidP="006E22A9">
      <w:pPr>
        <w:jc w:val="both"/>
        <w:rPr>
          <w:rFonts w:ascii="Arial" w:hAnsi="Arial" w:cs="Arial"/>
        </w:rPr>
      </w:pPr>
      <w:r w:rsidRPr="00456D47">
        <w:rPr>
          <w:rFonts w:ascii="Arial" w:hAnsi="Arial" w:cs="Arial"/>
          <w:b/>
          <w:bCs/>
        </w:rPr>
        <w:t xml:space="preserve">Rovinj, 29. srpnja 2016. </w:t>
      </w:r>
      <w:r w:rsidRPr="00456D47">
        <w:rPr>
          <w:rFonts w:ascii="Arial" w:hAnsi="Arial" w:cs="Arial"/>
        </w:rPr>
        <w:t>– U prvih šest mjeseci ove godine ukupni prihodi Adris grupe iznosili su 2,4 milijarde kuna, a poslov</w:t>
      </w:r>
      <w:r w:rsidR="00DA0132">
        <w:rPr>
          <w:rFonts w:ascii="Arial" w:hAnsi="Arial" w:cs="Arial"/>
        </w:rPr>
        <w:t xml:space="preserve">ni prihodi 2,2 milijarde kuna. </w:t>
      </w:r>
      <w:r w:rsidRPr="00456D47">
        <w:rPr>
          <w:rFonts w:ascii="Arial" w:hAnsi="Arial" w:cs="Arial"/>
        </w:rPr>
        <w:t xml:space="preserve">Neto dobit iznosi 151 milijun kuna, što je, unatoč prodaji duhanskog dijela poslovanja, na prošlogodišnjoj razini, kada je ostvareno 150 milijuna kuna. Tekuće izvještajno razdoblje nije </w:t>
      </w:r>
      <w:r>
        <w:rPr>
          <w:rFonts w:ascii="Arial" w:hAnsi="Arial" w:cs="Arial"/>
        </w:rPr>
        <w:t xml:space="preserve">u cijelosti </w:t>
      </w:r>
      <w:r w:rsidRPr="00456D47">
        <w:rPr>
          <w:rFonts w:ascii="Arial" w:hAnsi="Arial" w:cs="Arial"/>
        </w:rPr>
        <w:t xml:space="preserve">usporedivo s prošlogodišnjim jer u sastavu Grupe više nema duhanskog poslovanja. </w:t>
      </w:r>
    </w:p>
    <w:p w:rsidR="006E22A9" w:rsidRPr="00456D47" w:rsidRDefault="006E22A9" w:rsidP="006E22A9">
      <w:pPr>
        <w:spacing w:line="360" w:lineRule="auto"/>
        <w:jc w:val="both"/>
        <w:rPr>
          <w:rFonts w:ascii="Arial" w:hAnsi="Arial" w:cs="Arial"/>
        </w:rPr>
      </w:pPr>
    </w:p>
    <w:p w:rsidR="006E22A9" w:rsidRPr="00456D47" w:rsidRDefault="006E22A9" w:rsidP="006E22A9">
      <w:pPr>
        <w:jc w:val="both"/>
        <w:rPr>
          <w:rFonts w:ascii="Arial" w:hAnsi="Arial" w:cs="Arial"/>
        </w:rPr>
      </w:pPr>
      <w:r w:rsidRPr="00456D47">
        <w:rPr>
          <w:rFonts w:ascii="Arial" w:hAnsi="Arial" w:cs="Arial"/>
        </w:rPr>
        <w:t xml:space="preserve">Maistra je u prvih šest mjeseci 2016. </w:t>
      </w:r>
      <w:r w:rsidRPr="00456D47">
        <w:rPr>
          <w:rFonts w:ascii="Arial" w:eastAsia="Calibri" w:hAnsi="Arial" w:cs="Arial"/>
        </w:rPr>
        <w:t xml:space="preserve">ostvarila tri posto manje noćenja gostiju nego u prvom polugodištu 2016., uz povećanje prosječne cijene noćenja od osam posto, što je dovelo do rasta poslovnih prihoda od pet posto. </w:t>
      </w:r>
      <w:r w:rsidRPr="00456D47">
        <w:rPr>
          <w:rFonts w:ascii="Arial" w:hAnsi="Arial" w:cs="Arial"/>
        </w:rPr>
        <w:t xml:space="preserve">Turistički dio Grupe intenzivno radi na obnovi i povećanju kvalitete postojećih proizvoda. Tako je u tijeku izgradnja hotela </w:t>
      </w:r>
      <w:proofErr w:type="spellStart"/>
      <w:r w:rsidRPr="00456D47">
        <w:rPr>
          <w:rFonts w:ascii="Arial" w:hAnsi="Arial" w:cs="Arial"/>
        </w:rPr>
        <w:t>Amarin</w:t>
      </w:r>
      <w:proofErr w:type="spellEnd"/>
      <w:r w:rsidRPr="00456D47">
        <w:rPr>
          <w:rFonts w:ascii="Arial" w:hAnsi="Arial" w:cs="Arial"/>
        </w:rPr>
        <w:t>, obiteljskog hotela čiji se završetak očekuje u kolovozu ove godine. Također, u tijeku su pripreme na izgradnji novog hotela Park</w:t>
      </w:r>
      <w:r>
        <w:rPr>
          <w:rFonts w:ascii="Arial" w:hAnsi="Arial" w:cs="Arial"/>
        </w:rPr>
        <w:t>, koja započinje krajem listopada ove godine</w:t>
      </w:r>
      <w:r w:rsidRPr="00456D47">
        <w:rPr>
          <w:rFonts w:ascii="Arial" w:hAnsi="Arial" w:cs="Arial"/>
        </w:rPr>
        <w:t>.</w:t>
      </w:r>
      <w:r w:rsidRPr="00456D47">
        <w:rPr>
          <w:rFonts w:ascii="Arial" w:eastAsia="Calibri" w:hAnsi="Arial" w:cs="Arial"/>
        </w:rPr>
        <w:t xml:space="preserve"> Ukupna ulaganja u 2016. godini procjenjuju se na više od 400 milijuna kuna, a u sljedeće</w:t>
      </w:r>
      <w:r>
        <w:rPr>
          <w:rFonts w:ascii="Arial" w:eastAsia="Calibri" w:hAnsi="Arial" w:cs="Arial"/>
        </w:rPr>
        <w:t>m</w:t>
      </w:r>
      <w:r w:rsidRPr="00456D47">
        <w:rPr>
          <w:rFonts w:ascii="Arial" w:eastAsia="Calibri" w:hAnsi="Arial" w:cs="Arial"/>
        </w:rPr>
        <w:t xml:space="preserve"> trogodišnjem razdoblju </w:t>
      </w:r>
      <w:r>
        <w:rPr>
          <w:rFonts w:ascii="Arial" w:eastAsia="Calibri" w:hAnsi="Arial" w:cs="Arial"/>
        </w:rPr>
        <w:t xml:space="preserve">Adris će u turistički dio svoga poslovanja uložiti </w:t>
      </w:r>
      <w:r w:rsidRPr="00456D47">
        <w:rPr>
          <w:rFonts w:ascii="Arial" w:eastAsia="Calibri" w:hAnsi="Arial" w:cs="Arial"/>
        </w:rPr>
        <w:t xml:space="preserve">1,6 milijardi kuna. Trenutni </w:t>
      </w:r>
      <w:proofErr w:type="spellStart"/>
      <w:r w:rsidRPr="00456D47">
        <w:rPr>
          <w:rFonts w:ascii="Arial" w:eastAsia="Calibri" w:hAnsi="Arial" w:cs="Arial"/>
          <w:i/>
        </w:rPr>
        <w:t>booking</w:t>
      </w:r>
      <w:proofErr w:type="spellEnd"/>
      <w:r w:rsidRPr="00456D47">
        <w:rPr>
          <w:rFonts w:ascii="Arial" w:eastAsia="Calibri" w:hAnsi="Arial" w:cs="Arial"/>
        </w:rPr>
        <w:t xml:space="preserve"> potvrđuje pozitivne trendove rasta broja noćenja uz povećanje prosječne cijene.</w:t>
      </w:r>
      <w:r w:rsidRPr="00456D47">
        <w:rPr>
          <w:rFonts w:ascii="Arial" w:eastAsia="Calibri" w:hAnsi="Arial" w:cs="Arial"/>
          <w:color w:val="FF0000"/>
        </w:rPr>
        <w:t xml:space="preserve"> </w:t>
      </w:r>
      <w:r w:rsidRPr="00456D47">
        <w:rPr>
          <w:rFonts w:ascii="Arial" w:hAnsi="Arial" w:cs="Arial"/>
        </w:rPr>
        <w:t xml:space="preserve">Osim ulaganja u podizanje kvalitete vlastitih sadržaja, Maistra je usmjerena i na povećanje prepoznatljivosti i ponude cijele destinacije. Tako je, primjerice, u svibnju ove godine Maistra bila organizator atraktivnog sportskog događaja, prestižnog Beach Polo turnira. </w:t>
      </w:r>
      <w:r w:rsidRPr="00456D47">
        <w:rPr>
          <w:rFonts w:ascii="Arial" w:hAnsi="Arial" w:cs="Arial"/>
        </w:rPr>
        <w:tab/>
        <w:t xml:space="preserve"> </w:t>
      </w:r>
    </w:p>
    <w:p w:rsidR="006E22A9" w:rsidRPr="00456D47" w:rsidRDefault="006E22A9" w:rsidP="006E22A9">
      <w:pPr>
        <w:jc w:val="both"/>
        <w:rPr>
          <w:rFonts w:ascii="Arial" w:hAnsi="Arial" w:cs="Arial"/>
          <w:color w:val="FF0000"/>
        </w:rPr>
      </w:pPr>
    </w:p>
    <w:p w:rsidR="006E22A9" w:rsidRPr="00456D47" w:rsidRDefault="006E22A9" w:rsidP="006E22A9">
      <w:pPr>
        <w:jc w:val="both"/>
        <w:rPr>
          <w:rFonts w:ascii="Arial" w:hAnsi="Arial" w:cs="Arial"/>
        </w:rPr>
      </w:pPr>
      <w:proofErr w:type="spellStart"/>
      <w:r w:rsidRPr="00456D47">
        <w:rPr>
          <w:rFonts w:ascii="Arial" w:hAnsi="Arial" w:cs="Arial"/>
        </w:rPr>
        <w:t>Cromaris</w:t>
      </w:r>
      <w:proofErr w:type="spellEnd"/>
      <w:r w:rsidRPr="00456D47">
        <w:rPr>
          <w:rFonts w:ascii="Arial" w:hAnsi="Arial" w:cs="Arial"/>
        </w:rPr>
        <w:t xml:space="preserve"> je u prvom polugodištu 2016. godine ostvario 11 posto veću prodaju nego u prvih šest mjeseci prošle godine. Izvoz je porastao 16 posto, od čega najviše na njemačkom tržištu. Gotovo 80 posto prodaje </w:t>
      </w:r>
      <w:proofErr w:type="spellStart"/>
      <w:r>
        <w:rPr>
          <w:rFonts w:ascii="Arial" w:hAnsi="Arial" w:cs="Arial"/>
        </w:rPr>
        <w:t>Cromaris</w:t>
      </w:r>
      <w:proofErr w:type="spellEnd"/>
      <w:r>
        <w:rPr>
          <w:rFonts w:ascii="Arial" w:hAnsi="Arial" w:cs="Arial"/>
        </w:rPr>
        <w:t xml:space="preserve"> </w:t>
      </w:r>
      <w:r w:rsidRPr="00456D47">
        <w:rPr>
          <w:rFonts w:ascii="Arial" w:hAnsi="Arial" w:cs="Arial"/>
        </w:rPr>
        <w:t>ostvaruje na inozemnim tržištima. Zabilježen je i porast cijena ribe od šest posto. U skladu s rastom količina i cijena u prvih šest mjeseci 2016. godine</w:t>
      </w:r>
      <w:r w:rsidR="00DA0132">
        <w:rPr>
          <w:rFonts w:ascii="Arial" w:hAnsi="Arial" w:cs="Arial"/>
        </w:rPr>
        <w:t>,</w:t>
      </w:r>
      <w:r w:rsidRPr="00456D47">
        <w:rPr>
          <w:rFonts w:ascii="Arial" w:hAnsi="Arial" w:cs="Arial"/>
        </w:rPr>
        <w:t xml:space="preserve"> ostvaren je porast prihoda od 18 posto. Ostvarena je neto dobit </w:t>
      </w:r>
      <w:r>
        <w:rPr>
          <w:rFonts w:ascii="Arial" w:hAnsi="Arial" w:cs="Arial"/>
        </w:rPr>
        <w:t xml:space="preserve">u iznosu </w:t>
      </w:r>
      <w:r w:rsidRPr="00456D47">
        <w:rPr>
          <w:rFonts w:ascii="Arial" w:hAnsi="Arial" w:cs="Arial"/>
        </w:rPr>
        <w:t>od 7,2 milijuna k</w:t>
      </w:r>
      <w:r w:rsidR="00DA0132">
        <w:rPr>
          <w:rFonts w:ascii="Arial" w:hAnsi="Arial" w:cs="Arial"/>
        </w:rPr>
        <w:t>u</w:t>
      </w:r>
      <w:r w:rsidRPr="00456D47">
        <w:rPr>
          <w:rFonts w:ascii="Arial" w:hAnsi="Arial" w:cs="Arial"/>
        </w:rPr>
        <w:t>n</w:t>
      </w:r>
      <w:r w:rsidR="00DA0132">
        <w:rPr>
          <w:rFonts w:ascii="Arial" w:hAnsi="Arial" w:cs="Arial"/>
        </w:rPr>
        <w:t>a</w:t>
      </w:r>
      <w:r w:rsidRPr="00456D47">
        <w:rPr>
          <w:rFonts w:ascii="Arial" w:hAnsi="Arial" w:cs="Arial"/>
        </w:rPr>
        <w:t xml:space="preserve">.    </w:t>
      </w:r>
    </w:p>
    <w:p w:rsidR="006E22A9" w:rsidRPr="00456D47" w:rsidRDefault="006E22A9" w:rsidP="006E22A9">
      <w:pPr>
        <w:jc w:val="both"/>
        <w:rPr>
          <w:rFonts w:ascii="Arial" w:hAnsi="Arial" w:cs="Arial"/>
        </w:rPr>
      </w:pPr>
    </w:p>
    <w:p w:rsidR="006E22A9" w:rsidRPr="00456D47" w:rsidRDefault="006E22A9" w:rsidP="006E22A9">
      <w:pPr>
        <w:jc w:val="both"/>
        <w:rPr>
          <w:rFonts w:ascii="Arial" w:hAnsi="Arial" w:cs="Arial"/>
        </w:rPr>
      </w:pPr>
      <w:r w:rsidRPr="00456D47">
        <w:rPr>
          <w:rFonts w:ascii="Arial" w:hAnsi="Arial" w:cs="Arial"/>
        </w:rPr>
        <w:lastRenderedPageBreak/>
        <w:t>Croatia osiguranje i nadalje ima vodeću poziciju na hrvatskom tržištu, s ukupnim udjelom od 32,9 posto ili 0,4 posto više od ostvarenja u prethodnom izvještajnom razdoblju. Tržišni je lider u segmentu neživotnih osiguranja sa stabilnih 38,7 posto. I u životnim osiguranjima zadržana je liderska pozicija s ostvarenim tržišnim udjelom od 20,6 posto, što je 1,2 postotna boda više nego u prvom polugodištu 2015. godine. U Hrvatskoj je ostvarena  ukupna bruto zaračunata premija u iznosu od 1,6 milijardi kuna, što je na razini prošlogodišnje. Bruto zaračunata premija na razini Grupe iznosi 1,8 milijardi</w:t>
      </w:r>
      <w:r w:rsidRPr="00456D47">
        <w:rPr>
          <w:rFonts w:ascii="Arial" w:hAnsi="Arial" w:cs="Arial"/>
          <w:color w:val="FF0000"/>
        </w:rPr>
        <w:t xml:space="preserve"> </w:t>
      </w:r>
      <w:r w:rsidRPr="00456D47">
        <w:rPr>
          <w:rFonts w:ascii="Arial" w:hAnsi="Arial" w:cs="Arial"/>
        </w:rPr>
        <w:t xml:space="preserve">kuna i jedan posto je veća od prošlogodišnje. U okviru Grupe rast bilježi segment zdravstvenog osiguranja. </w:t>
      </w:r>
      <w:proofErr w:type="spellStart"/>
      <w:r w:rsidRPr="00456D47">
        <w:rPr>
          <w:rFonts w:ascii="Arial" w:hAnsi="Arial" w:cs="Arial"/>
        </w:rPr>
        <w:t>Štetovni</w:t>
      </w:r>
      <w:proofErr w:type="spellEnd"/>
      <w:r w:rsidRPr="00456D47">
        <w:rPr>
          <w:rFonts w:ascii="Arial" w:hAnsi="Arial" w:cs="Arial"/>
        </w:rPr>
        <w:t xml:space="preserve"> omjer neživotnih osiguranja na razini Grupe je 56,9 posto i 6,4 postotna boda bolji </w:t>
      </w:r>
      <w:r>
        <w:rPr>
          <w:rFonts w:ascii="Arial" w:hAnsi="Arial" w:cs="Arial"/>
        </w:rPr>
        <w:t xml:space="preserve">je </w:t>
      </w:r>
      <w:r w:rsidRPr="00456D47">
        <w:rPr>
          <w:rFonts w:ascii="Arial" w:hAnsi="Arial" w:cs="Arial"/>
        </w:rPr>
        <w:t xml:space="preserve">od ostvarenja u prvom polugodištu prošle godine. Kombinirani omjer, kao ključni pokazatelj efikasnosti poslovanja, gotovo je šest postotnih bodova bolji od prošlogodišnjeg, ali još uvijek nedovoljan te ostaje daljnjim profesionalnim izazovom poslovodstvu i zaposlenicima tvrtke. </w:t>
      </w:r>
    </w:p>
    <w:p w:rsidR="006E22A9" w:rsidRPr="00456D47" w:rsidRDefault="006E22A9" w:rsidP="006E22A9">
      <w:pPr>
        <w:jc w:val="both"/>
        <w:rPr>
          <w:rFonts w:ascii="Arial" w:hAnsi="Arial" w:cs="Arial"/>
        </w:rPr>
      </w:pPr>
    </w:p>
    <w:p w:rsidR="006E22A9" w:rsidRPr="00456D47" w:rsidRDefault="006E22A9" w:rsidP="006E22A9">
      <w:pPr>
        <w:jc w:val="both"/>
        <w:rPr>
          <w:rFonts w:ascii="Arial" w:hAnsi="Arial" w:cs="Arial"/>
          <w:b/>
        </w:rPr>
      </w:pPr>
      <w:r w:rsidRPr="00456D47">
        <w:rPr>
          <w:rFonts w:ascii="Arial" w:hAnsi="Arial" w:cs="Arial"/>
        </w:rPr>
        <w:t>U prvih šest mjeseci CO grupa ostvarila je dobit prije poreza u iznosu od 82 milijuna kuna, dok je u istom prošlogodišnjem razdoblju ostvarena dobit od 57 milijuna kuna, što predstavlja rast od 44 posto. Neto dobit iznosi 62 milijuna kuna, što je 55 posto više od ostvarenja u prvom polugodištu 2015. godine.</w:t>
      </w:r>
      <w:bookmarkStart w:id="0" w:name="_GoBack"/>
      <w:bookmarkEnd w:id="0"/>
    </w:p>
    <w:p w:rsidR="006E22A9" w:rsidRDefault="006E22A9" w:rsidP="006E22A9">
      <w:pPr>
        <w:rPr>
          <w:rFonts w:ascii="Arial" w:hAnsi="Arial" w:cs="Arial"/>
          <w:b/>
        </w:rPr>
      </w:pPr>
    </w:p>
    <w:p w:rsidR="006E22A9" w:rsidRPr="00456D47" w:rsidRDefault="006E22A9" w:rsidP="006E22A9">
      <w:pPr>
        <w:rPr>
          <w:rFonts w:ascii="Arial" w:hAnsi="Arial" w:cs="Arial"/>
          <w:b/>
        </w:rPr>
      </w:pPr>
    </w:p>
    <w:p w:rsidR="006E22A9" w:rsidRDefault="006E22A9" w:rsidP="006E22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predsjednika Uprave Adris grupe, mr. Ante Vlahovića</w:t>
      </w:r>
    </w:p>
    <w:p w:rsidR="006E22A9" w:rsidRDefault="006E22A9" w:rsidP="006E22A9">
      <w:pPr>
        <w:rPr>
          <w:rFonts w:ascii="Arial" w:hAnsi="Arial" w:cs="Arial"/>
          <w:b/>
        </w:rPr>
      </w:pPr>
    </w:p>
    <w:p w:rsidR="006E22A9" w:rsidRPr="007270FB" w:rsidRDefault="006E22A9" w:rsidP="006E22A9">
      <w:pPr>
        <w:jc w:val="both"/>
        <w:rPr>
          <w:rFonts w:ascii="Arial" w:hAnsi="Arial" w:cs="Arial"/>
          <w:i/>
        </w:rPr>
      </w:pPr>
      <w:r w:rsidRPr="007270FB">
        <w:rPr>
          <w:rFonts w:ascii="Arial" w:hAnsi="Arial" w:cs="Arial"/>
          <w:i/>
        </w:rPr>
        <w:t>Komentirajući rezultate ostvarene u prvih šest mjeseci ove godine, Vlahović je, uz ostalo,  rekao: „Sv</w:t>
      </w:r>
      <w:r>
        <w:rPr>
          <w:rFonts w:ascii="Arial" w:hAnsi="Arial" w:cs="Arial"/>
          <w:i/>
        </w:rPr>
        <w:t>e</w:t>
      </w:r>
      <w:r w:rsidRPr="007270FB">
        <w:rPr>
          <w:rFonts w:ascii="Arial" w:hAnsi="Arial" w:cs="Arial"/>
          <w:i/>
        </w:rPr>
        <w:t xml:space="preserve"> </w:t>
      </w:r>
      <w:proofErr w:type="spellStart"/>
      <w:r w:rsidRPr="007270FB">
        <w:rPr>
          <w:rFonts w:ascii="Arial" w:hAnsi="Arial" w:cs="Arial"/>
          <w:i/>
        </w:rPr>
        <w:t>Adrisove</w:t>
      </w:r>
      <w:proofErr w:type="spellEnd"/>
      <w:r w:rsidRPr="007270FB">
        <w:rPr>
          <w:rFonts w:ascii="Arial" w:hAnsi="Arial" w:cs="Arial"/>
          <w:i/>
        </w:rPr>
        <w:t xml:space="preserve"> tvrtke uspješno posluju. To je najbolja potvrda da smo uspješno završili transformaciju </w:t>
      </w:r>
      <w:r>
        <w:rPr>
          <w:rFonts w:ascii="Arial" w:hAnsi="Arial" w:cs="Arial"/>
          <w:i/>
        </w:rPr>
        <w:t>kompanije</w:t>
      </w:r>
      <w:r w:rsidRPr="007270FB">
        <w:rPr>
          <w:rFonts w:ascii="Arial" w:hAnsi="Arial" w:cs="Arial"/>
          <w:i/>
        </w:rPr>
        <w:t>. U sljedećem trogodišnjem razdoblju namjeravamo investirati četiri milijarde kuna u postojeće poslove, ali spremni smo i za nove poslovne izazo</w:t>
      </w:r>
      <w:r>
        <w:rPr>
          <w:rFonts w:ascii="Arial" w:hAnsi="Arial" w:cs="Arial"/>
          <w:i/>
        </w:rPr>
        <w:t>ve. Adris je otvoren</w:t>
      </w:r>
      <w:r w:rsidRPr="007270FB">
        <w:rPr>
          <w:rFonts w:ascii="Arial" w:hAnsi="Arial" w:cs="Arial"/>
          <w:i/>
        </w:rPr>
        <w:t xml:space="preserve"> budućnosti. Zna što hoće, a to što hoće, zna i </w:t>
      </w:r>
      <w:r>
        <w:rPr>
          <w:rFonts w:ascii="Arial" w:hAnsi="Arial" w:cs="Arial"/>
          <w:i/>
        </w:rPr>
        <w:t xml:space="preserve">može </w:t>
      </w:r>
      <w:r w:rsidRPr="007270FB">
        <w:rPr>
          <w:rFonts w:ascii="Arial" w:hAnsi="Arial" w:cs="Arial"/>
          <w:i/>
        </w:rPr>
        <w:t>ostvariti. “</w:t>
      </w:r>
    </w:p>
    <w:p w:rsidR="006E22A9" w:rsidRDefault="006E22A9" w:rsidP="006E22A9">
      <w:pPr>
        <w:jc w:val="both"/>
        <w:rPr>
          <w:b/>
        </w:rPr>
      </w:pPr>
    </w:p>
    <w:p w:rsidR="006E22A9" w:rsidRDefault="006E22A9" w:rsidP="006E22A9">
      <w:pPr>
        <w:rPr>
          <w:b/>
        </w:rPr>
      </w:pPr>
    </w:p>
    <w:p w:rsidR="006E22A9" w:rsidRDefault="006E22A9" w:rsidP="006E22A9">
      <w:pPr>
        <w:rPr>
          <w:b/>
        </w:rPr>
      </w:pPr>
    </w:p>
    <w:p w:rsidR="006E22A9" w:rsidRDefault="006E22A9" w:rsidP="006E22A9">
      <w:pPr>
        <w:rPr>
          <w:b/>
        </w:rPr>
      </w:pPr>
    </w:p>
    <w:p w:rsidR="006E22A9" w:rsidRDefault="006E22A9" w:rsidP="006E22A9">
      <w:pPr>
        <w:rPr>
          <w:b/>
        </w:rPr>
      </w:pPr>
    </w:p>
    <w:p w:rsidR="006E22A9" w:rsidRDefault="006E22A9" w:rsidP="006E22A9">
      <w:pPr>
        <w:rPr>
          <w:b/>
        </w:rPr>
      </w:pPr>
    </w:p>
    <w:p w:rsidR="006E22A9" w:rsidRDefault="006E22A9" w:rsidP="006E22A9">
      <w:pPr>
        <w:rPr>
          <w:b/>
        </w:rPr>
      </w:pPr>
    </w:p>
    <w:p w:rsidR="006E22A9" w:rsidRDefault="006E22A9" w:rsidP="006E22A9">
      <w:pPr>
        <w:rPr>
          <w:b/>
        </w:rPr>
      </w:pPr>
    </w:p>
    <w:p w:rsidR="006E22A9" w:rsidRDefault="006E22A9" w:rsidP="006E22A9">
      <w:pPr>
        <w:rPr>
          <w:b/>
        </w:rPr>
      </w:pPr>
    </w:p>
    <w:p w:rsidR="006E22A9" w:rsidRDefault="006E22A9" w:rsidP="006E22A9">
      <w:pPr>
        <w:rPr>
          <w:b/>
        </w:rPr>
      </w:pPr>
    </w:p>
    <w:p w:rsidR="00BB1A40" w:rsidRDefault="00BB1A40"/>
    <w:sectPr w:rsidR="00BB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A9"/>
    <w:rsid w:val="006E22A9"/>
    <w:rsid w:val="00A25668"/>
    <w:rsid w:val="00BB1A40"/>
    <w:rsid w:val="00DA0132"/>
    <w:rsid w:val="00D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F036-13D2-422F-B528-B7DD215F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Adris Grupa d.d.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Kristina Miljavac</cp:lastModifiedBy>
  <cp:revision>6</cp:revision>
  <dcterms:created xsi:type="dcterms:W3CDTF">2016-07-29T07:30:00Z</dcterms:created>
  <dcterms:modified xsi:type="dcterms:W3CDTF">2016-07-29T07:58:00Z</dcterms:modified>
</cp:coreProperties>
</file>