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AE" w:rsidRDefault="00D55EAE" w:rsidP="00D55EAE">
      <w:bookmarkStart w:id="0" w:name="_GoBack"/>
      <w:bookmarkEnd w:id="0"/>
    </w:p>
    <w:p w:rsidR="00D55EAE" w:rsidRDefault="00D55EAE" w:rsidP="00D55EAE">
      <w:pPr>
        <w:jc w:val="center"/>
      </w:pPr>
      <w:r>
        <w:rPr>
          <w:noProof/>
          <w:lang w:eastAsia="zh-CN"/>
        </w:rPr>
        <w:drawing>
          <wp:inline distT="0" distB="0" distL="0" distR="0">
            <wp:extent cx="963930" cy="1104265"/>
            <wp:effectExtent l="0" t="0" r="7620" b="635"/>
            <wp:docPr id="1" name="Slika 1" descr="ad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r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EAE" w:rsidRDefault="00D55EAE" w:rsidP="00D55EAE"/>
    <w:p w:rsidR="00D55EAE" w:rsidRDefault="00D55EAE" w:rsidP="00D55EAE">
      <w:pPr>
        <w:ind w:right="140"/>
        <w:jc w:val="right"/>
        <w:rPr>
          <w:rFonts w:ascii="Arial" w:hAnsi="Arial" w:cs="Arial"/>
          <w:i/>
          <w:sz w:val="20"/>
          <w:szCs w:val="20"/>
        </w:rPr>
      </w:pPr>
    </w:p>
    <w:p w:rsidR="00D55EAE" w:rsidRDefault="00D55EAE" w:rsidP="00D55EAE">
      <w:pPr>
        <w:ind w:right="140"/>
        <w:jc w:val="right"/>
        <w:rPr>
          <w:rFonts w:ascii="Arial" w:hAnsi="Arial" w:cs="Arial"/>
          <w:i/>
          <w:sz w:val="20"/>
          <w:szCs w:val="20"/>
        </w:rPr>
      </w:pPr>
    </w:p>
    <w:p w:rsidR="00D55EAE" w:rsidRDefault="00D55EAE" w:rsidP="00D55EAE">
      <w:pPr>
        <w:ind w:right="140"/>
        <w:jc w:val="right"/>
        <w:rPr>
          <w:rFonts w:ascii="Arial" w:hAnsi="Arial" w:cs="Arial"/>
          <w:i/>
          <w:sz w:val="20"/>
          <w:szCs w:val="20"/>
        </w:rPr>
      </w:pPr>
    </w:p>
    <w:p w:rsidR="00D55EAE" w:rsidRDefault="00D55EAE" w:rsidP="00D55EAE">
      <w:pPr>
        <w:ind w:right="140"/>
        <w:jc w:val="right"/>
        <w:rPr>
          <w:rFonts w:ascii="Arial" w:hAnsi="Arial" w:cs="Arial"/>
          <w:i/>
          <w:sz w:val="20"/>
          <w:szCs w:val="20"/>
        </w:rPr>
      </w:pPr>
    </w:p>
    <w:p w:rsidR="00D55EAE" w:rsidRPr="00547C03" w:rsidRDefault="00D55EAE" w:rsidP="00D55EAE">
      <w:pPr>
        <w:ind w:right="140"/>
        <w:jc w:val="right"/>
        <w:rPr>
          <w:rFonts w:ascii="Arial" w:hAnsi="Arial" w:cs="Arial"/>
          <w:sz w:val="20"/>
          <w:szCs w:val="20"/>
        </w:rPr>
      </w:pPr>
    </w:p>
    <w:p w:rsidR="00D55EAE" w:rsidRPr="00547C03" w:rsidRDefault="00D55EAE" w:rsidP="00D55EAE">
      <w:pPr>
        <w:ind w:right="140"/>
        <w:rPr>
          <w:rFonts w:ascii="Arial" w:hAnsi="Arial" w:cs="Arial"/>
        </w:rPr>
      </w:pPr>
      <w:r w:rsidRPr="00547C03">
        <w:rPr>
          <w:rFonts w:ascii="Arial" w:hAnsi="Arial" w:cs="Arial"/>
        </w:rPr>
        <w:t>Zagrebačka burza</w:t>
      </w:r>
    </w:p>
    <w:p w:rsidR="00D55EAE" w:rsidRPr="00547C03" w:rsidRDefault="00D55EAE" w:rsidP="00D55EAE">
      <w:pPr>
        <w:ind w:right="140"/>
        <w:rPr>
          <w:rFonts w:ascii="Arial" w:hAnsi="Arial" w:cs="Arial"/>
        </w:rPr>
      </w:pPr>
    </w:p>
    <w:p w:rsidR="00D55EAE" w:rsidRPr="00547C03" w:rsidRDefault="00D55EAE" w:rsidP="00D55EAE">
      <w:pPr>
        <w:ind w:right="140"/>
        <w:rPr>
          <w:rFonts w:ascii="Arial" w:hAnsi="Arial" w:cs="Arial"/>
        </w:rPr>
      </w:pPr>
      <w:r w:rsidRPr="00547C03">
        <w:rPr>
          <w:rFonts w:ascii="Arial" w:hAnsi="Arial" w:cs="Arial"/>
        </w:rPr>
        <w:t>Hrvatska agencija za nadzor financijskih usluga</w:t>
      </w:r>
    </w:p>
    <w:p w:rsidR="00D55EAE" w:rsidRDefault="00D55EAE" w:rsidP="00D55EAE">
      <w:pPr>
        <w:ind w:right="140"/>
        <w:jc w:val="right"/>
        <w:rPr>
          <w:rFonts w:ascii="Arial" w:hAnsi="Arial" w:cs="Arial"/>
          <w:i/>
          <w:sz w:val="20"/>
          <w:szCs w:val="20"/>
        </w:rPr>
      </w:pPr>
    </w:p>
    <w:p w:rsidR="00D55EAE" w:rsidRDefault="00D55EAE" w:rsidP="00D55EAE">
      <w:pPr>
        <w:ind w:right="140"/>
        <w:jc w:val="right"/>
        <w:rPr>
          <w:rFonts w:ascii="Arial" w:hAnsi="Arial" w:cs="Arial"/>
          <w:i/>
          <w:sz w:val="20"/>
          <w:szCs w:val="20"/>
        </w:rPr>
      </w:pPr>
    </w:p>
    <w:p w:rsidR="00D55EAE" w:rsidRDefault="00D55EAE" w:rsidP="00D55EAE">
      <w:pPr>
        <w:ind w:right="140"/>
        <w:jc w:val="right"/>
        <w:rPr>
          <w:rFonts w:ascii="Arial" w:hAnsi="Arial" w:cs="Arial"/>
          <w:i/>
          <w:sz w:val="20"/>
          <w:szCs w:val="20"/>
        </w:rPr>
      </w:pPr>
    </w:p>
    <w:p w:rsidR="00D55EAE" w:rsidRDefault="00D55EAE" w:rsidP="00D55EAE">
      <w:pPr>
        <w:ind w:right="140"/>
        <w:jc w:val="right"/>
        <w:rPr>
          <w:rFonts w:ascii="Arial" w:hAnsi="Arial" w:cs="Arial"/>
          <w:i/>
          <w:sz w:val="20"/>
          <w:szCs w:val="20"/>
        </w:rPr>
      </w:pPr>
    </w:p>
    <w:p w:rsidR="00D55EAE" w:rsidRDefault="00D55EAE" w:rsidP="00D55EAE">
      <w:pPr>
        <w:ind w:right="140"/>
        <w:jc w:val="right"/>
        <w:rPr>
          <w:rFonts w:ascii="Arial" w:hAnsi="Arial" w:cs="Arial"/>
          <w:i/>
          <w:sz w:val="20"/>
          <w:szCs w:val="20"/>
        </w:rPr>
      </w:pPr>
    </w:p>
    <w:p w:rsidR="00D55EAE" w:rsidRDefault="00D55EAE" w:rsidP="00D55EAE">
      <w:pPr>
        <w:ind w:right="140"/>
        <w:jc w:val="center"/>
        <w:rPr>
          <w:rFonts w:ascii="Arial" w:hAnsi="Arial" w:cs="Arial"/>
          <w:b/>
        </w:rPr>
      </w:pPr>
    </w:p>
    <w:p w:rsidR="00D55EAE" w:rsidRPr="00F434E5" w:rsidRDefault="00D55EAE" w:rsidP="00D55EAE">
      <w:pPr>
        <w:jc w:val="center"/>
        <w:rPr>
          <w:rFonts w:ascii="Calibri" w:hAnsi="Calibri" w:cs="Arial"/>
          <w:b/>
          <w:sz w:val="22"/>
          <w:szCs w:val="22"/>
        </w:rPr>
      </w:pPr>
      <w:r w:rsidRPr="00F434E5">
        <w:rPr>
          <w:rFonts w:ascii="Calibri" w:hAnsi="Calibri" w:cs="Arial"/>
          <w:b/>
          <w:sz w:val="22"/>
          <w:szCs w:val="22"/>
        </w:rPr>
        <w:t>Adris grupa d.d iz Rovinja, Obala V. Na</w:t>
      </w:r>
      <w:r w:rsidR="00FE6F06">
        <w:rPr>
          <w:rFonts w:ascii="Calibri" w:hAnsi="Calibri" w:cs="Arial"/>
          <w:b/>
          <w:sz w:val="22"/>
          <w:szCs w:val="22"/>
        </w:rPr>
        <w:t>zora 1, OIB 82023167977, dana 26</w:t>
      </w:r>
      <w:r w:rsidRPr="00F434E5">
        <w:rPr>
          <w:rFonts w:ascii="Calibri" w:hAnsi="Calibri" w:cs="Arial"/>
          <w:b/>
          <w:sz w:val="22"/>
          <w:szCs w:val="22"/>
        </w:rPr>
        <w:t xml:space="preserve">. </w:t>
      </w:r>
      <w:r>
        <w:rPr>
          <w:rFonts w:ascii="Calibri" w:hAnsi="Calibri" w:cs="Arial"/>
          <w:b/>
          <w:sz w:val="22"/>
          <w:szCs w:val="22"/>
        </w:rPr>
        <w:t>r</w:t>
      </w:r>
      <w:r w:rsidRPr="00F434E5">
        <w:rPr>
          <w:rFonts w:ascii="Calibri" w:hAnsi="Calibri" w:cs="Arial"/>
          <w:b/>
          <w:sz w:val="22"/>
          <w:szCs w:val="22"/>
        </w:rPr>
        <w:t>ujna objavljuje da su Adris grupa d</w:t>
      </w:r>
      <w:r w:rsidR="00BE55C2">
        <w:rPr>
          <w:rFonts w:ascii="Calibri" w:hAnsi="Calibri" w:cs="Arial"/>
          <w:b/>
          <w:sz w:val="22"/>
          <w:szCs w:val="22"/>
        </w:rPr>
        <w:t>.d. i TDR d.o.o. podnijeli tužbe</w:t>
      </w:r>
      <w:r w:rsidRPr="00F434E5">
        <w:rPr>
          <w:rFonts w:ascii="Calibri" w:hAnsi="Calibri" w:cs="Arial"/>
          <w:b/>
          <w:sz w:val="22"/>
          <w:szCs w:val="22"/>
        </w:rPr>
        <w:t xml:space="preserve"> Upravnom sudu</w:t>
      </w:r>
    </w:p>
    <w:p w:rsidR="00D55EAE" w:rsidRDefault="00D55EAE" w:rsidP="00D55EAE">
      <w:pPr>
        <w:jc w:val="both"/>
        <w:rPr>
          <w:rFonts w:ascii="Arial" w:hAnsi="Arial" w:cs="Arial"/>
          <w:b/>
          <w:sz w:val="22"/>
          <w:szCs w:val="22"/>
        </w:rPr>
      </w:pPr>
    </w:p>
    <w:p w:rsidR="00D55EAE" w:rsidRPr="00547C03" w:rsidRDefault="00D55EAE" w:rsidP="00D55EAE">
      <w:pPr>
        <w:jc w:val="both"/>
        <w:rPr>
          <w:rFonts w:ascii="Arial" w:hAnsi="Arial" w:cs="Arial"/>
          <w:sz w:val="22"/>
          <w:szCs w:val="22"/>
        </w:rPr>
      </w:pPr>
    </w:p>
    <w:p w:rsidR="00D55EAE" w:rsidRPr="00547C03" w:rsidRDefault="00D55EAE" w:rsidP="00D55EAE">
      <w:pPr>
        <w:jc w:val="both"/>
        <w:rPr>
          <w:rFonts w:ascii="Arial" w:hAnsi="Arial" w:cs="Arial"/>
          <w:sz w:val="22"/>
          <w:szCs w:val="22"/>
        </w:rPr>
      </w:pPr>
    </w:p>
    <w:p w:rsidR="00D55EAE" w:rsidRPr="00547C03" w:rsidRDefault="00D55EAE" w:rsidP="00D55EAE">
      <w:pPr>
        <w:jc w:val="both"/>
        <w:rPr>
          <w:rFonts w:ascii="Arial" w:hAnsi="Arial" w:cs="Arial"/>
          <w:sz w:val="22"/>
          <w:szCs w:val="22"/>
        </w:rPr>
      </w:pPr>
    </w:p>
    <w:p w:rsidR="00D55EAE" w:rsidRPr="00547C03" w:rsidRDefault="00D55EAE" w:rsidP="00D55EAE">
      <w:pPr>
        <w:jc w:val="both"/>
        <w:rPr>
          <w:rFonts w:ascii="Arial" w:hAnsi="Arial" w:cs="Arial"/>
          <w:sz w:val="22"/>
          <w:szCs w:val="22"/>
        </w:rPr>
      </w:pPr>
      <w:r w:rsidRPr="00547C03">
        <w:rPr>
          <w:rFonts w:ascii="Arial" w:hAnsi="Arial" w:cs="Arial"/>
          <w:sz w:val="22"/>
          <w:szCs w:val="22"/>
        </w:rPr>
        <w:t>Adris grupa d.d. i TDR d.o.o. u z</w:t>
      </w:r>
      <w:r w:rsidR="00BE55C2">
        <w:rPr>
          <w:rFonts w:ascii="Arial" w:hAnsi="Arial" w:cs="Arial"/>
          <w:sz w:val="22"/>
          <w:szCs w:val="22"/>
        </w:rPr>
        <w:t>akonskom roku podnijeli su tužbe</w:t>
      </w:r>
      <w:r w:rsidRPr="00547C03">
        <w:rPr>
          <w:rFonts w:ascii="Arial" w:hAnsi="Arial" w:cs="Arial"/>
          <w:sz w:val="22"/>
          <w:szCs w:val="22"/>
        </w:rPr>
        <w:t xml:space="preserve"> Upravnom sudu Republike Hrvatske protiv rješenja AZTN-a</w:t>
      </w:r>
      <w:r>
        <w:rPr>
          <w:rFonts w:ascii="Arial" w:hAnsi="Arial" w:cs="Arial"/>
          <w:sz w:val="22"/>
          <w:szCs w:val="22"/>
        </w:rPr>
        <w:t>,</w:t>
      </w:r>
      <w:r w:rsidRPr="00547C03">
        <w:rPr>
          <w:rFonts w:ascii="Arial" w:hAnsi="Arial" w:cs="Arial"/>
          <w:sz w:val="22"/>
          <w:szCs w:val="22"/>
        </w:rPr>
        <w:t xml:space="preserve"> od 16. lipnja 2011. </w:t>
      </w:r>
      <w:r>
        <w:rPr>
          <w:rFonts w:ascii="Arial" w:hAnsi="Arial" w:cs="Arial"/>
          <w:sz w:val="22"/>
          <w:szCs w:val="22"/>
        </w:rPr>
        <w:t>g</w:t>
      </w:r>
      <w:r w:rsidRPr="00547C03">
        <w:rPr>
          <w:rFonts w:ascii="Arial" w:hAnsi="Arial" w:cs="Arial"/>
          <w:sz w:val="22"/>
          <w:szCs w:val="22"/>
        </w:rPr>
        <w:t>odine, kojim je utvrđeno da su Adris grupa i TDR u razdoblju od 15. kolovoza 2004. godine do 31. prosinca 2010. godine ograničili tržišno natjecanje.</w:t>
      </w:r>
    </w:p>
    <w:p w:rsidR="00D55EAE" w:rsidRPr="00547C03" w:rsidRDefault="00D55EAE" w:rsidP="00D55EAE">
      <w:pPr>
        <w:jc w:val="both"/>
        <w:rPr>
          <w:rFonts w:ascii="Arial" w:hAnsi="Arial" w:cs="Arial"/>
          <w:sz w:val="22"/>
          <w:szCs w:val="22"/>
        </w:rPr>
      </w:pPr>
    </w:p>
    <w:p w:rsidR="00D55EAE" w:rsidRPr="00547C03" w:rsidRDefault="00D55EAE" w:rsidP="00D55EAE">
      <w:pPr>
        <w:jc w:val="both"/>
        <w:rPr>
          <w:rFonts w:ascii="Arial" w:hAnsi="Arial" w:cs="Arial"/>
          <w:sz w:val="22"/>
          <w:szCs w:val="22"/>
        </w:rPr>
      </w:pPr>
      <w:r w:rsidRPr="00547C03">
        <w:rPr>
          <w:rFonts w:ascii="Arial" w:hAnsi="Arial" w:cs="Arial"/>
          <w:sz w:val="22"/>
          <w:szCs w:val="22"/>
        </w:rPr>
        <w:t xml:space="preserve"> </w:t>
      </w:r>
    </w:p>
    <w:p w:rsidR="00D55EAE" w:rsidRPr="00547C03" w:rsidRDefault="00D55EAE" w:rsidP="00D55EAE">
      <w:pPr>
        <w:jc w:val="both"/>
        <w:rPr>
          <w:rFonts w:ascii="Arial" w:hAnsi="Arial" w:cs="Arial"/>
          <w:sz w:val="22"/>
          <w:szCs w:val="22"/>
        </w:rPr>
      </w:pPr>
      <w:r w:rsidRPr="00547C03">
        <w:rPr>
          <w:rFonts w:ascii="Arial" w:hAnsi="Arial" w:cs="Arial"/>
          <w:sz w:val="22"/>
          <w:szCs w:val="22"/>
        </w:rPr>
        <w:t xml:space="preserve">Adris grupa drži da nije trebala biti stranka u postupku, tj. da je, u odnosu na Adris grupu, AZTN nepravilno utvrdila pasivnu legitimaciju (svojstvo stranke u postupku). </w:t>
      </w:r>
    </w:p>
    <w:p w:rsidR="00D55EAE" w:rsidRPr="00547C03" w:rsidRDefault="00D55EAE" w:rsidP="00D55EAE">
      <w:pPr>
        <w:jc w:val="both"/>
        <w:rPr>
          <w:rFonts w:ascii="Arial" w:hAnsi="Arial" w:cs="Arial"/>
          <w:sz w:val="22"/>
          <w:szCs w:val="22"/>
        </w:rPr>
      </w:pPr>
    </w:p>
    <w:p w:rsidR="00D55EAE" w:rsidRPr="00547C03" w:rsidRDefault="00D55EAE" w:rsidP="00D55EAE">
      <w:pPr>
        <w:jc w:val="both"/>
        <w:rPr>
          <w:rFonts w:ascii="Arial" w:hAnsi="Arial" w:cs="Arial"/>
          <w:sz w:val="22"/>
          <w:szCs w:val="22"/>
        </w:rPr>
      </w:pPr>
      <w:r w:rsidRPr="00547C03">
        <w:rPr>
          <w:rFonts w:ascii="Arial" w:hAnsi="Arial" w:cs="Arial"/>
          <w:sz w:val="22"/>
          <w:szCs w:val="22"/>
        </w:rPr>
        <w:t>U odnosu pak na TDR, upravna tužba protiv rješenja AZTN-a je izjavljena iz svih zakonom predviđenih razloga, a posebno jer TDR smatra da se rješenje temelji na ispravama o kojima strankama nije</w:t>
      </w:r>
      <w:r>
        <w:rPr>
          <w:rFonts w:ascii="Arial" w:hAnsi="Arial" w:cs="Arial"/>
          <w:sz w:val="22"/>
          <w:szCs w:val="22"/>
        </w:rPr>
        <w:t xml:space="preserve"> dan</w:t>
      </w:r>
      <w:r w:rsidRPr="00547C03">
        <w:rPr>
          <w:rFonts w:ascii="Arial" w:hAnsi="Arial" w:cs="Arial"/>
          <w:sz w:val="22"/>
          <w:szCs w:val="22"/>
        </w:rPr>
        <w:t xml:space="preserve">a mogućnost </w:t>
      </w:r>
      <w:r>
        <w:rPr>
          <w:rFonts w:ascii="Arial" w:hAnsi="Arial" w:cs="Arial"/>
          <w:sz w:val="22"/>
          <w:szCs w:val="22"/>
        </w:rPr>
        <w:t>izjašnjavanja</w:t>
      </w:r>
      <w:r w:rsidRPr="00547C03">
        <w:rPr>
          <w:rFonts w:ascii="Arial" w:hAnsi="Arial" w:cs="Arial"/>
          <w:sz w:val="22"/>
          <w:szCs w:val="22"/>
        </w:rPr>
        <w:t>. Nadalje, da</w:t>
      </w:r>
      <w:r>
        <w:rPr>
          <w:rFonts w:ascii="Arial" w:hAnsi="Arial" w:cs="Arial"/>
          <w:sz w:val="22"/>
          <w:szCs w:val="22"/>
        </w:rPr>
        <w:t xml:space="preserve"> </w:t>
      </w:r>
      <w:r w:rsidRPr="00547C03">
        <w:rPr>
          <w:rFonts w:ascii="Arial" w:hAnsi="Arial" w:cs="Arial"/>
          <w:sz w:val="22"/>
          <w:szCs w:val="22"/>
        </w:rPr>
        <w:t>postoje pr</w:t>
      </w:r>
      <w:r>
        <w:rPr>
          <w:rFonts w:ascii="Arial" w:hAnsi="Arial" w:cs="Arial"/>
          <w:sz w:val="22"/>
          <w:szCs w:val="22"/>
        </w:rPr>
        <w:t xml:space="preserve">oturječnosti u izreci rješenja </w:t>
      </w:r>
      <w:r w:rsidRPr="00547C03">
        <w:rPr>
          <w:rFonts w:ascii="Arial" w:hAnsi="Arial" w:cs="Arial"/>
          <w:sz w:val="22"/>
          <w:szCs w:val="22"/>
        </w:rPr>
        <w:t xml:space="preserve"> između izreke i obrazloženja, posebno u odnosu na mjerodavno tržište, te da su pogrešno primijenjene odredbe Zakona o zaštiti tržišnog natjecanja (ZZTN) i Sporazuma o stabilizaciji i pridruživanju (SSP). TDR-ovi sporazumi, a posebno rabatna politika, bili su u skladu s kriterijima predviđenim odredbama ZZTN-a i SSP-a. Iz utvrđenog činjeničnog stanja ne proizlazi da su TDR-ovi sporazumi imali ikakav negativni učinak na tržištu.</w:t>
      </w:r>
    </w:p>
    <w:p w:rsidR="00D55EAE" w:rsidRPr="00547C03" w:rsidRDefault="00D55EAE" w:rsidP="00D55EAE">
      <w:pPr>
        <w:rPr>
          <w:rFonts w:ascii="Arial" w:hAnsi="Arial" w:cs="Arial"/>
          <w:sz w:val="22"/>
          <w:szCs w:val="22"/>
        </w:rPr>
      </w:pPr>
      <w:r w:rsidRPr="00547C03">
        <w:rPr>
          <w:rFonts w:ascii="Arial" w:hAnsi="Arial" w:cs="Arial"/>
          <w:sz w:val="22"/>
          <w:szCs w:val="22"/>
        </w:rPr>
        <w:t xml:space="preserve"> </w:t>
      </w:r>
    </w:p>
    <w:p w:rsidR="00E261CA" w:rsidRDefault="00E261CA"/>
    <w:sectPr w:rsidR="00E2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AE"/>
    <w:rsid w:val="001437EF"/>
    <w:rsid w:val="00BE55C2"/>
    <w:rsid w:val="00D55EAE"/>
    <w:rsid w:val="00E261CA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EA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EA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TDR d.o.o.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Grubić</dc:creator>
  <cp:keywords/>
  <dc:description/>
  <cp:lastModifiedBy> </cp:lastModifiedBy>
  <cp:revision>2</cp:revision>
  <dcterms:created xsi:type="dcterms:W3CDTF">2011-09-26T11:41:00Z</dcterms:created>
  <dcterms:modified xsi:type="dcterms:W3CDTF">2011-09-26T11:41:00Z</dcterms:modified>
</cp:coreProperties>
</file>